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9E69" w14:textId="77777777" w:rsidR="00204CD3" w:rsidRPr="00F2078F" w:rsidRDefault="00204CD3">
      <w:pPr>
        <w:rPr>
          <w:rFonts w:cstheme="minorHAnsi"/>
        </w:rPr>
      </w:pPr>
    </w:p>
    <w:p w14:paraId="3769E62E" w14:textId="77777777" w:rsidR="00B47832" w:rsidRPr="00F2078F" w:rsidRDefault="00B47832" w:rsidP="004B467A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262A5A46" w14:textId="77777777" w:rsidR="004E290E" w:rsidRPr="00F2078F" w:rsidRDefault="004E290E" w:rsidP="00B47832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14:paraId="6D08186F" w14:textId="6B1D65F2" w:rsidR="00DE671F" w:rsidRPr="00937FF5" w:rsidRDefault="00937FF5" w:rsidP="00084FCF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937FF5">
        <w:rPr>
          <w:rFonts w:eastAsia="Times New Roman" w:cstheme="minorHAnsi"/>
          <w:sz w:val="20"/>
          <w:szCs w:val="20"/>
          <w:lang w:eastAsia="pl-PL"/>
        </w:rPr>
        <w:t>Załącznik do Zarządzenia nr 16/2024</w:t>
      </w:r>
    </w:p>
    <w:p w14:paraId="61DCDA37" w14:textId="6533B9D9" w:rsidR="00937FF5" w:rsidRPr="00937FF5" w:rsidRDefault="00937FF5" w:rsidP="00084FCF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937FF5">
        <w:rPr>
          <w:rFonts w:eastAsia="Times New Roman" w:cstheme="minorHAnsi"/>
          <w:sz w:val="20"/>
          <w:szCs w:val="20"/>
          <w:lang w:eastAsia="pl-PL"/>
        </w:rPr>
        <w:t>Dyrektora Muzeum Regionalnego w Pułtusku</w:t>
      </w:r>
    </w:p>
    <w:p w14:paraId="763DC45F" w14:textId="1704EBFB" w:rsidR="00937FF5" w:rsidRPr="00937FF5" w:rsidRDefault="00937FF5" w:rsidP="00084FCF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937FF5">
        <w:rPr>
          <w:rFonts w:eastAsia="Times New Roman" w:cstheme="minorHAnsi"/>
          <w:sz w:val="20"/>
          <w:szCs w:val="20"/>
          <w:lang w:eastAsia="pl-PL"/>
        </w:rPr>
        <w:t xml:space="preserve">z dnia 6 grudnia 2024 r. </w:t>
      </w:r>
    </w:p>
    <w:p w14:paraId="58AFE627" w14:textId="77777777" w:rsidR="00937FF5" w:rsidRDefault="00937FF5" w:rsidP="007965B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14:paraId="0B9F1008" w14:textId="77777777" w:rsidR="00937FF5" w:rsidRDefault="00937FF5" w:rsidP="007965B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14:paraId="03A3FB0B" w14:textId="08C86A34" w:rsidR="007965B4" w:rsidRPr="00F2078F" w:rsidRDefault="004B467A" w:rsidP="007965B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 xml:space="preserve">Regulamin realizacji kwerend i </w:t>
      </w:r>
      <w:r w:rsidR="004E290E" w:rsidRPr="00F2078F">
        <w:rPr>
          <w:rFonts w:eastAsia="Times New Roman" w:cstheme="minorHAnsi"/>
          <w:b/>
          <w:lang w:eastAsia="pl-PL"/>
        </w:rPr>
        <w:t xml:space="preserve">ponownego wykorzystania informacji </w:t>
      </w:r>
    </w:p>
    <w:p w14:paraId="1D278C31" w14:textId="743EFB32" w:rsidR="007965B4" w:rsidRPr="00F2078F" w:rsidRDefault="004E290E" w:rsidP="00DE671F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sektora publicznego będących w posiadaniu</w:t>
      </w:r>
      <w:r w:rsidR="004B467A" w:rsidRPr="00F2078F">
        <w:rPr>
          <w:rFonts w:eastAsia="Times New Roman" w:cstheme="minorHAnsi"/>
          <w:b/>
          <w:lang w:eastAsia="pl-PL"/>
        </w:rPr>
        <w:t xml:space="preserve"> Muzeum </w:t>
      </w:r>
      <w:r w:rsidR="00B47832" w:rsidRPr="00F2078F">
        <w:rPr>
          <w:rFonts w:eastAsia="Times New Roman" w:cstheme="minorHAnsi"/>
          <w:b/>
          <w:lang w:eastAsia="pl-PL"/>
        </w:rPr>
        <w:t>Regionalnego w Pułtusku</w:t>
      </w:r>
    </w:p>
    <w:p w14:paraId="16EE5ACC" w14:textId="77777777" w:rsidR="004B467A" w:rsidRPr="00F2078F" w:rsidRDefault="004B467A" w:rsidP="004B467A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§1</w:t>
      </w:r>
    </w:p>
    <w:p w14:paraId="09DD570F" w14:textId="6F0C2AC1" w:rsidR="004B467A" w:rsidRPr="00F2078F" w:rsidRDefault="007965B4" w:rsidP="007965B4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Definicje</w:t>
      </w:r>
    </w:p>
    <w:p w14:paraId="0B618EFA" w14:textId="3ED9E0A2" w:rsidR="004B467A" w:rsidRPr="00F2078F" w:rsidRDefault="004E290E" w:rsidP="0077506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Użyte w regulaminie oznaczenia określają</w:t>
      </w:r>
      <w:r w:rsidR="004B467A" w:rsidRPr="00F2078F">
        <w:rPr>
          <w:rFonts w:eastAsia="Times New Roman" w:cstheme="minorHAnsi"/>
          <w:lang w:eastAsia="pl-PL"/>
        </w:rPr>
        <w:t>:</w:t>
      </w:r>
    </w:p>
    <w:p w14:paraId="60855E9F" w14:textId="77777777" w:rsidR="000D1ABD" w:rsidRPr="00F2078F" w:rsidRDefault="004E290E">
      <w:pPr>
        <w:pStyle w:val="Akapitzlist"/>
        <w:numPr>
          <w:ilvl w:val="0"/>
          <w:numId w:val="6"/>
        </w:numPr>
        <w:spacing w:before="120" w:after="0" w:line="276" w:lineRule="auto"/>
        <w:ind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Muzeum</w:t>
      </w:r>
      <w:r w:rsidRPr="00F2078F">
        <w:rPr>
          <w:rFonts w:eastAsia="Times New Roman" w:cstheme="minorHAnsi"/>
          <w:lang w:eastAsia="pl-PL"/>
        </w:rPr>
        <w:t xml:space="preserve"> – Muzeum Regionalne w Pułtusku.</w:t>
      </w:r>
    </w:p>
    <w:p w14:paraId="09B5EA78" w14:textId="77777777" w:rsidR="000D1ABD" w:rsidRPr="00F2078F" w:rsidRDefault="004B467A">
      <w:pPr>
        <w:pStyle w:val="Akapitzlist"/>
        <w:numPr>
          <w:ilvl w:val="0"/>
          <w:numId w:val="6"/>
        </w:numPr>
        <w:spacing w:before="120" w:after="0" w:line="276" w:lineRule="auto"/>
        <w:ind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Obiek</w:t>
      </w:r>
      <w:r w:rsidR="004E290E" w:rsidRPr="00F2078F">
        <w:rPr>
          <w:rFonts w:eastAsia="Times New Roman" w:cstheme="minorHAnsi"/>
          <w:b/>
          <w:lang w:eastAsia="pl-PL"/>
        </w:rPr>
        <w:t>t muzealny</w:t>
      </w:r>
      <w:r w:rsidRPr="00F2078F">
        <w:rPr>
          <w:rFonts w:eastAsia="Times New Roman" w:cstheme="minorHAnsi"/>
          <w:lang w:eastAsia="pl-PL"/>
        </w:rPr>
        <w:t xml:space="preserve"> – należy przez to rozumieć każdy obiekt należący do zbiorów Muzeum.</w:t>
      </w:r>
    </w:p>
    <w:p w14:paraId="1E4DEC7F" w14:textId="723511CF" w:rsidR="000D1ABD" w:rsidRPr="00F2078F" w:rsidRDefault="004B467A">
      <w:pPr>
        <w:pStyle w:val="Akapitzlist"/>
        <w:numPr>
          <w:ilvl w:val="0"/>
          <w:numId w:val="6"/>
        </w:numPr>
        <w:spacing w:before="120" w:after="0" w:line="276" w:lineRule="auto"/>
        <w:ind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Informacj</w:t>
      </w:r>
      <w:r w:rsidR="004E290E" w:rsidRPr="00F2078F">
        <w:rPr>
          <w:rFonts w:eastAsia="Times New Roman" w:cstheme="minorHAnsi"/>
          <w:b/>
          <w:lang w:eastAsia="pl-PL"/>
        </w:rPr>
        <w:t>a</w:t>
      </w:r>
      <w:r w:rsidRPr="00F2078F">
        <w:rPr>
          <w:rFonts w:eastAsia="Times New Roman" w:cstheme="minorHAnsi"/>
          <w:b/>
          <w:lang w:eastAsia="pl-PL"/>
        </w:rPr>
        <w:t xml:space="preserve"> sektora publicznego</w:t>
      </w:r>
      <w:r w:rsidR="00773209" w:rsidRPr="00F2078F">
        <w:rPr>
          <w:rFonts w:eastAsia="Times New Roman" w:cstheme="minorHAnsi"/>
          <w:lang w:eastAsia="pl-PL"/>
        </w:rPr>
        <w:t xml:space="preserve"> </w:t>
      </w:r>
      <w:r w:rsidRPr="00F2078F">
        <w:rPr>
          <w:rFonts w:eastAsia="Times New Roman" w:cstheme="minorHAnsi"/>
          <w:lang w:eastAsia="pl-PL"/>
        </w:rPr>
        <w:t xml:space="preserve">– </w:t>
      </w:r>
      <w:r w:rsidR="00773209" w:rsidRPr="00F2078F">
        <w:rPr>
          <w:rFonts w:eastAsia="Times New Roman" w:cstheme="minorHAnsi"/>
          <w:lang w:eastAsia="pl-PL"/>
        </w:rPr>
        <w:t xml:space="preserve"> każda treść lub jej część, niezależnie od sposobu utrwalenia, </w:t>
      </w:r>
      <w:r w:rsidR="00FD449A">
        <w:rPr>
          <w:rFonts w:eastAsia="Times New Roman" w:cstheme="minorHAnsi"/>
          <w:lang w:eastAsia="pl-PL"/>
        </w:rPr>
        <w:br/>
      </w:r>
      <w:r w:rsidR="00773209" w:rsidRPr="00F2078F">
        <w:rPr>
          <w:rFonts w:eastAsia="Times New Roman" w:cstheme="minorHAnsi"/>
          <w:lang w:eastAsia="pl-PL"/>
        </w:rPr>
        <w:t>w szczególności w postaci papierowej, elektronicznej, dźwiękowej, wizualnej lub audiowizualnej, będąca w posiadaniu Muzeum.</w:t>
      </w:r>
    </w:p>
    <w:p w14:paraId="2B58A89C" w14:textId="570F845C" w:rsidR="000D1ABD" w:rsidRPr="00F2078F" w:rsidRDefault="004B467A">
      <w:pPr>
        <w:pStyle w:val="Akapitzlist"/>
        <w:numPr>
          <w:ilvl w:val="0"/>
          <w:numId w:val="6"/>
        </w:numPr>
        <w:spacing w:before="120" w:after="0" w:line="276" w:lineRule="auto"/>
        <w:ind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Ponown</w:t>
      </w:r>
      <w:r w:rsidR="003F506B" w:rsidRPr="00F2078F">
        <w:rPr>
          <w:rFonts w:eastAsia="Times New Roman" w:cstheme="minorHAnsi"/>
          <w:b/>
          <w:lang w:eastAsia="pl-PL"/>
        </w:rPr>
        <w:t>e</w:t>
      </w:r>
      <w:r w:rsidRPr="00F2078F">
        <w:rPr>
          <w:rFonts w:eastAsia="Times New Roman" w:cstheme="minorHAnsi"/>
          <w:b/>
          <w:lang w:eastAsia="pl-PL"/>
        </w:rPr>
        <w:t xml:space="preserve"> wykorzystani</w:t>
      </w:r>
      <w:r w:rsidR="00D52817" w:rsidRPr="00F2078F">
        <w:rPr>
          <w:rFonts w:eastAsia="Times New Roman" w:cstheme="minorHAnsi"/>
          <w:b/>
          <w:lang w:eastAsia="pl-PL"/>
        </w:rPr>
        <w:t>e</w:t>
      </w:r>
      <w:r w:rsidRPr="00F2078F">
        <w:rPr>
          <w:rFonts w:eastAsia="Times New Roman" w:cstheme="minorHAnsi"/>
          <w:b/>
          <w:lang w:eastAsia="pl-PL"/>
        </w:rPr>
        <w:t xml:space="preserve"> informacji sektora publicznego</w:t>
      </w:r>
      <w:r w:rsidRPr="00F2078F">
        <w:rPr>
          <w:rFonts w:eastAsia="Times New Roman" w:cstheme="minorHAnsi"/>
          <w:lang w:eastAsia="pl-PL"/>
        </w:rPr>
        <w:t xml:space="preserve"> – należy przez to rozumieć wykorzystanie informacji przez osoby fizyczne, osoby prawne i jednostki organizacyjne nieposiadające osobowości prawnej, w celach komercyjnych lub niekomercyjnych innych niż pierwotny publiczny cel, dla którego informacja została wytworzona.</w:t>
      </w:r>
    </w:p>
    <w:p w14:paraId="6EDA62DF" w14:textId="742EAA15" w:rsidR="000D1ABD" w:rsidRPr="00F2078F" w:rsidRDefault="004B467A">
      <w:pPr>
        <w:pStyle w:val="Akapitzlist"/>
        <w:numPr>
          <w:ilvl w:val="0"/>
          <w:numId w:val="6"/>
        </w:numPr>
        <w:spacing w:before="120" w:after="0" w:line="276" w:lineRule="auto"/>
        <w:ind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Kweren</w:t>
      </w:r>
      <w:r w:rsidR="003F506B" w:rsidRPr="00F2078F">
        <w:rPr>
          <w:rFonts w:eastAsia="Times New Roman" w:cstheme="minorHAnsi"/>
          <w:b/>
          <w:lang w:eastAsia="pl-PL"/>
        </w:rPr>
        <w:t>da</w:t>
      </w:r>
      <w:r w:rsidRPr="00F2078F">
        <w:rPr>
          <w:rFonts w:eastAsia="Times New Roman" w:cstheme="minorHAnsi"/>
          <w:lang w:eastAsia="pl-PL"/>
        </w:rPr>
        <w:t xml:space="preserve"> – należy przez to rozumieć fizyczne udostępnienie </w:t>
      </w:r>
      <w:r w:rsidR="003F506B" w:rsidRPr="00F2078F">
        <w:rPr>
          <w:rFonts w:eastAsia="Times New Roman" w:cstheme="minorHAnsi"/>
          <w:lang w:eastAsia="pl-PL"/>
        </w:rPr>
        <w:t>osobie zainteresowanej</w:t>
      </w:r>
      <w:r w:rsidRPr="00F2078F">
        <w:rPr>
          <w:rFonts w:eastAsia="Times New Roman" w:cstheme="minorHAnsi"/>
          <w:lang w:eastAsia="pl-PL"/>
        </w:rPr>
        <w:t xml:space="preserve"> wybranych zbiorów w terminie ustalonym przez obie strony</w:t>
      </w:r>
      <w:r w:rsidR="00FD449A">
        <w:rPr>
          <w:rFonts w:eastAsia="Times New Roman" w:cstheme="minorHAnsi"/>
          <w:lang w:eastAsia="pl-PL"/>
        </w:rPr>
        <w:t>,</w:t>
      </w:r>
      <w:r w:rsidRPr="00F2078F">
        <w:rPr>
          <w:rFonts w:eastAsia="Times New Roman" w:cstheme="minorHAnsi"/>
          <w:lang w:eastAsia="pl-PL"/>
        </w:rPr>
        <w:t xml:space="preserve"> odbywające się w Muzeum i/lub udostępnienie informacji o zbiorach (podstawowych danych ewidencyjnych), będących własnością Muzeum </w:t>
      </w:r>
      <w:r w:rsidR="00FD449A">
        <w:rPr>
          <w:rFonts w:eastAsia="Times New Roman" w:cstheme="minorHAnsi"/>
          <w:lang w:eastAsia="pl-PL"/>
        </w:rPr>
        <w:br/>
      </w:r>
      <w:r w:rsidR="003F506B" w:rsidRPr="00F2078F">
        <w:rPr>
          <w:rFonts w:eastAsia="Times New Roman" w:cstheme="minorHAnsi"/>
          <w:lang w:eastAsia="pl-PL"/>
        </w:rPr>
        <w:t>i</w:t>
      </w:r>
      <w:r w:rsidRPr="00F2078F">
        <w:rPr>
          <w:rFonts w:eastAsia="Times New Roman" w:cstheme="minorHAnsi"/>
          <w:lang w:eastAsia="pl-PL"/>
        </w:rPr>
        <w:t xml:space="preserve"> przygotowane przez pracowników muzeum w formie zestawienia.</w:t>
      </w:r>
    </w:p>
    <w:p w14:paraId="4CBEC99B" w14:textId="1D988D51" w:rsidR="000D1ABD" w:rsidRPr="00F2078F" w:rsidRDefault="004B467A">
      <w:pPr>
        <w:pStyle w:val="Akapitzlist"/>
        <w:numPr>
          <w:ilvl w:val="0"/>
          <w:numId w:val="6"/>
        </w:numPr>
        <w:spacing w:before="120" w:after="0" w:line="276" w:lineRule="auto"/>
        <w:ind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Zestaw</w:t>
      </w:r>
      <w:r w:rsidR="00D52817" w:rsidRPr="00F2078F">
        <w:rPr>
          <w:rFonts w:eastAsia="Times New Roman" w:cstheme="minorHAnsi"/>
          <w:b/>
          <w:lang w:eastAsia="pl-PL"/>
        </w:rPr>
        <w:t>ienie</w:t>
      </w:r>
      <w:r w:rsidRPr="00F2078F">
        <w:rPr>
          <w:rFonts w:eastAsia="Times New Roman" w:cstheme="minorHAnsi"/>
          <w:b/>
          <w:lang w:eastAsia="pl-PL"/>
        </w:rPr>
        <w:t xml:space="preserve"> obiektów</w:t>
      </w:r>
      <w:r w:rsidRPr="00F2078F">
        <w:rPr>
          <w:rFonts w:eastAsia="Times New Roman" w:cstheme="minorHAnsi"/>
          <w:lang w:eastAsia="pl-PL"/>
        </w:rPr>
        <w:t xml:space="preserve"> – należy przez to rozumieć plik</w:t>
      </w:r>
      <w:r w:rsidR="00452D7A">
        <w:rPr>
          <w:rFonts w:eastAsia="Times New Roman" w:cstheme="minorHAnsi"/>
          <w:lang w:eastAsia="pl-PL"/>
        </w:rPr>
        <w:t xml:space="preserve"> tekstowy lub PDF</w:t>
      </w:r>
      <w:r w:rsidRPr="00F2078F">
        <w:rPr>
          <w:rFonts w:eastAsia="Times New Roman" w:cstheme="minorHAnsi"/>
          <w:lang w:eastAsia="pl-PL"/>
        </w:rPr>
        <w:t xml:space="preserve"> zawierający informacje tekstowe o zbiorach Muzeum, tworzony w celu prezentacji wyników kwerendy.</w:t>
      </w:r>
    </w:p>
    <w:p w14:paraId="4125296E" w14:textId="7878FD75" w:rsidR="00B65638" w:rsidRPr="00F2078F" w:rsidRDefault="004B467A" w:rsidP="00AA4ACE">
      <w:pPr>
        <w:pStyle w:val="Akapitzlist"/>
        <w:numPr>
          <w:ilvl w:val="0"/>
          <w:numId w:val="6"/>
        </w:numPr>
        <w:spacing w:before="120" w:after="0" w:line="276" w:lineRule="auto"/>
        <w:ind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Kweren</w:t>
      </w:r>
      <w:r w:rsidR="003F506B" w:rsidRPr="00F2078F">
        <w:rPr>
          <w:rFonts w:eastAsia="Times New Roman" w:cstheme="minorHAnsi"/>
          <w:b/>
          <w:lang w:eastAsia="pl-PL"/>
        </w:rPr>
        <w:t>da</w:t>
      </w:r>
      <w:r w:rsidRPr="00F2078F">
        <w:rPr>
          <w:rFonts w:eastAsia="Times New Roman" w:cstheme="minorHAnsi"/>
          <w:b/>
          <w:lang w:eastAsia="pl-PL"/>
        </w:rPr>
        <w:t xml:space="preserve"> na zlecenie</w:t>
      </w:r>
      <w:r w:rsidRPr="00F2078F">
        <w:rPr>
          <w:rFonts w:eastAsia="Times New Roman" w:cstheme="minorHAnsi"/>
          <w:lang w:eastAsia="pl-PL"/>
        </w:rPr>
        <w:t xml:space="preserve"> – należy przez to rozumieć udostępnienie osobie zainteresowanej informacji merytorycznej związanej ze zbiorami</w:t>
      </w:r>
      <w:r w:rsidR="003F506B" w:rsidRPr="00F2078F">
        <w:rPr>
          <w:rFonts w:eastAsia="Times New Roman" w:cstheme="minorHAnsi"/>
          <w:lang w:eastAsia="pl-PL"/>
        </w:rPr>
        <w:t xml:space="preserve"> Muzeum</w:t>
      </w:r>
      <w:r w:rsidRPr="00F2078F">
        <w:rPr>
          <w:rFonts w:eastAsia="Times New Roman" w:cstheme="minorHAnsi"/>
          <w:lang w:eastAsia="pl-PL"/>
        </w:rPr>
        <w:t>, zebranej przez pracownika Muzeum, zawierającej zakres ustalony z Wnioskodawcą.</w:t>
      </w:r>
    </w:p>
    <w:p w14:paraId="7B3D6716" w14:textId="5503DD3D" w:rsidR="004B467A" w:rsidRPr="00F2078F" w:rsidRDefault="004B467A" w:rsidP="004B467A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§2</w:t>
      </w:r>
    </w:p>
    <w:p w14:paraId="38A2731B" w14:textId="77777777" w:rsidR="003F506B" w:rsidRPr="00F2078F" w:rsidRDefault="003F506B" w:rsidP="003F506B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Zasady przeprowadzania kwerend</w:t>
      </w:r>
    </w:p>
    <w:p w14:paraId="124BA2C5" w14:textId="628E153B" w:rsidR="00775061" w:rsidRPr="00F2078F" w:rsidRDefault="003F506B">
      <w:pPr>
        <w:pStyle w:val="Akapitzlist"/>
        <w:numPr>
          <w:ilvl w:val="0"/>
          <w:numId w:val="8"/>
        </w:numPr>
        <w:spacing w:before="120" w:after="0" w:line="276" w:lineRule="auto"/>
        <w:ind w:left="363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Kwerendy są prowadzone na podstawie </w:t>
      </w:r>
      <w:r w:rsidR="005F2E7B" w:rsidRPr="00F2078F">
        <w:rPr>
          <w:rFonts w:eastAsia="Times New Roman" w:cstheme="minorHAnsi"/>
          <w:b/>
          <w:lang w:eastAsia="pl-PL"/>
        </w:rPr>
        <w:t>W</w:t>
      </w:r>
      <w:r w:rsidRPr="00F2078F">
        <w:rPr>
          <w:rFonts w:eastAsia="Times New Roman" w:cstheme="minorHAnsi"/>
          <w:b/>
          <w:lang w:eastAsia="pl-PL"/>
        </w:rPr>
        <w:t>niosku o przeprowadzenie kwerendy w zbiorach Muzeum Regionalnego w Pułtusku</w:t>
      </w:r>
      <w:r w:rsidR="00E16D98" w:rsidRPr="00F2078F">
        <w:rPr>
          <w:rFonts w:eastAsia="Times New Roman" w:cstheme="minorHAnsi"/>
          <w:i/>
          <w:lang w:eastAsia="pl-PL"/>
        </w:rPr>
        <w:t xml:space="preserve">, </w:t>
      </w:r>
      <w:r w:rsidR="00E16D98" w:rsidRPr="00F2078F">
        <w:rPr>
          <w:rFonts w:eastAsia="Times New Roman" w:cstheme="minorHAnsi"/>
          <w:iCs/>
          <w:lang w:eastAsia="pl-PL"/>
        </w:rPr>
        <w:t>którego wzór stanowi</w:t>
      </w:r>
      <w:r w:rsidR="00E16D98" w:rsidRPr="00F2078F">
        <w:rPr>
          <w:rFonts w:eastAsia="Times New Roman" w:cstheme="minorHAnsi"/>
          <w:i/>
          <w:lang w:eastAsia="pl-PL"/>
        </w:rPr>
        <w:t xml:space="preserve"> </w:t>
      </w:r>
      <w:r w:rsidR="00397045" w:rsidRPr="00F2078F">
        <w:rPr>
          <w:rFonts w:eastAsia="Times New Roman" w:cstheme="minorHAnsi"/>
          <w:b/>
          <w:bCs/>
          <w:lang w:eastAsia="pl-PL"/>
        </w:rPr>
        <w:t>Z</w:t>
      </w:r>
      <w:r w:rsidRPr="00F2078F">
        <w:rPr>
          <w:rFonts w:eastAsia="Times New Roman" w:cstheme="minorHAnsi"/>
          <w:b/>
          <w:bCs/>
          <w:lang w:eastAsia="pl-PL"/>
        </w:rPr>
        <w:t>ałącznik nr 1</w:t>
      </w:r>
      <w:r w:rsidR="00995FB6" w:rsidRPr="00F2078F">
        <w:rPr>
          <w:rFonts w:eastAsia="Times New Roman" w:cstheme="minorHAnsi"/>
          <w:b/>
          <w:bCs/>
          <w:lang w:eastAsia="pl-PL"/>
        </w:rPr>
        <w:t xml:space="preserve"> do Regulaminu</w:t>
      </w:r>
      <w:r w:rsidR="00E16D98" w:rsidRPr="00F2078F">
        <w:rPr>
          <w:rFonts w:eastAsia="Times New Roman" w:cstheme="minorHAnsi"/>
          <w:b/>
          <w:bCs/>
          <w:lang w:eastAsia="pl-PL"/>
        </w:rPr>
        <w:t xml:space="preserve">, </w:t>
      </w:r>
      <w:r w:rsidRPr="00F2078F">
        <w:rPr>
          <w:rFonts w:eastAsia="Times New Roman" w:cstheme="minorHAnsi"/>
          <w:lang w:eastAsia="pl-PL"/>
        </w:rPr>
        <w:t xml:space="preserve">przesłanego drogą elektroniczną na adres e-mail: muzeum@pultusk.pl lub drogą pocztową na adres: Muzeum Regionalne w Pułtusku, ul. Rynek 43, 06-100 Pułtusk. W przypadku wystąpienia braków we wniosku, Muzeum wzywa Wnioskodawcę do usunięcia braków formalnych w terminie 7 dni kalendarzowych od otrzymania wezwania. Nie uzupełnienie braków w wyznaczonym terminie jest równoznaczne </w:t>
      </w:r>
      <w:r w:rsidR="00452D7A">
        <w:rPr>
          <w:rFonts w:eastAsia="Times New Roman" w:cstheme="minorHAnsi"/>
          <w:lang w:eastAsia="pl-PL"/>
        </w:rPr>
        <w:br/>
      </w:r>
      <w:r w:rsidRPr="00F2078F">
        <w:rPr>
          <w:rFonts w:eastAsia="Times New Roman" w:cstheme="minorHAnsi"/>
          <w:lang w:eastAsia="pl-PL"/>
        </w:rPr>
        <w:t>z wycofaniem wniosku.</w:t>
      </w:r>
    </w:p>
    <w:p w14:paraId="1F87FEF8" w14:textId="77777777" w:rsidR="000D1ABD" w:rsidRPr="00F2078F" w:rsidRDefault="003F506B">
      <w:pPr>
        <w:pStyle w:val="Akapitzlist"/>
        <w:numPr>
          <w:ilvl w:val="0"/>
          <w:numId w:val="8"/>
        </w:numPr>
        <w:spacing w:before="120" w:after="0" w:line="276" w:lineRule="auto"/>
        <w:ind w:left="363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Informacje dotyczące zbiorów są udzielane w oparciu o posiadaną dokumentację zbiorów. Kwerendy są realizowane w następujących formach:</w:t>
      </w:r>
    </w:p>
    <w:p w14:paraId="3D951AC6" w14:textId="6D361365" w:rsidR="000D1ABD" w:rsidRPr="00F2078F" w:rsidRDefault="000D1ABD">
      <w:pPr>
        <w:pStyle w:val="Akapitzlist"/>
        <w:numPr>
          <w:ilvl w:val="1"/>
          <w:numId w:val="8"/>
        </w:numPr>
        <w:spacing w:before="120" w:after="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lastRenderedPageBreak/>
        <w:t xml:space="preserve">przygotowania podstawowych informacji ewidencyjnych o zbiorach przez pracownika Muzeum </w:t>
      </w:r>
      <w:r w:rsidR="00452D7A">
        <w:rPr>
          <w:rFonts w:eastAsia="Times New Roman" w:cstheme="minorHAnsi"/>
          <w:lang w:eastAsia="pl-PL"/>
        </w:rPr>
        <w:br/>
      </w:r>
      <w:r w:rsidRPr="00F2078F">
        <w:rPr>
          <w:rFonts w:eastAsia="Times New Roman" w:cstheme="minorHAnsi"/>
          <w:lang w:eastAsia="pl-PL"/>
        </w:rPr>
        <w:t>i udostępnienia ich drogą mailową lub w innej uzgodnionej formie - bezpłatnie;</w:t>
      </w:r>
    </w:p>
    <w:p w14:paraId="1C30F200" w14:textId="77777777" w:rsidR="000D1ABD" w:rsidRPr="00F2078F" w:rsidRDefault="000D1ABD">
      <w:pPr>
        <w:pStyle w:val="Akapitzlist"/>
        <w:numPr>
          <w:ilvl w:val="1"/>
          <w:numId w:val="8"/>
        </w:numPr>
        <w:spacing w:before="120" w:after="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przygotowania informacji merytorycznej związanej ze zbiorami zebranej przez pracownika Muzeum, zawierającej informacje w zakresie ustalonym z Wnioskodawcą i udostępnienia ich drogą mailową lub w innej uzgodnionej formie;</w:t>
      </w:r>
    </w:p>
    <w:p w14:paraId="0CDECF46" w14:textId="56593A42" w:rsidR="000D1ABD" w:rsidRPr="00F2078F" w:rsidRDefault="000D1ABD" w:rsidP="00CE3E63">
      <w:pPr>
        <w:pStyle w:val="Akapitzlist"/>
        <w:numPr>
          <w:ilvl w:val="1"/>
          <w:numId w:val="8"/>
        </w:numPr>
        <w:spacing w:before="120" w:after="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fizycznego udostępnienia zbiorów w siedzibie Muzeum</w:t>
      </w:r>
      <w:r w:rsidR="00452D7A">
        <w:rPr>
          <w:rFonts w:eastAsia="Times New Roman" w:cstheme="minorHAnsi"/>
          <w:lang w:eastAsia="pl-PL"/>
        </w:rPr>
        <w:t>.</w:t>
      </w:r>
    </w:p>
    <w:p w14:paraId="3D9588F5" w14:textId="77777777" w:rsidR="000D1ABD" w:rsidRPr="00F2078F" w:rsidRDefault="000D1ABD">
      <w:pPr>
        <w:pStyle w:val="Akapitzlist"/>
        <w:numPr>
          <w:ilvl w:val="0"/>
          <w:numId w:val="8"/>
        </w:numPr>
        <w:spacing w:before="120" w:after="0" w:line="276" w:lineRule="auto"/>
        <w:ind w:left="363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cstheme="minorHAnsi"/>
        </w:rPr>
        <w:t xml:space="preserve">Kwerendy dla innych placówek muzealnych są przeprowadzane nieodpłatnie. </w:t>
      </w:r>
    </w:p>
    <w:p w14:paraId="66F321B9" w14:textId="77777777" w:rsidR="000D1ABD" w:rsidRPr="00F2078F" w:rsidRDefault="000D1ABD">
      <w:pPr>
        <w:pStyle w:val="Akapitzlist"/>
        <w:numPr>
          <w:ilvl w:val="0"/>
          <w:numId w:val="8"/>
        </w:numPr>
        <w:spacing w:before="120" w:after="0" w:line="276" w:lineRule="auto"/>
        <w:ind w:left="363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cstheme="minorHAnsi"/>
        </w:rPr>
        <w:t xml:space="preserve">W szczególnych przypadkach Muzeum zastrzega sobie prawo do odmowy przeprowadzenia kwerendy.  </w:t>
      </w:r>
    </w:p>
    <w:p w14:paraId="3A723DC4" w14:textId="77777777" w:rsidR="005A4181" w:rsidRPr="00F2078F" w:rsidRDefault="000D1ABD">
      <w:pPr>
        <w:pStyle w:val="Akapitzlist"/>
        <w:numPr>
          <w:ilvl w:val="0"/>
          <w:numId w:val="8"/>
        </w:numPr>
        <w:spacing w:before="120" w:after="0" w:line="276" w:lineRule="auto"/>
        <w:ind w:left="363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cstheme="minorHAnsi"/>
        </w:rPr>
        <w:t>Uczniowie i studenci zobowiązani są dodatkowo do przedstawienia zaświadczenia ze szkoły lub z uczelni potwierdzającego ich status.</w:t>
      </w:r>
    </w:p>
    <w:p w14:paraId="38B0D06D" w14:textId="79210FEC" w:rsidR="005A4181" w:rsidRPr="00F2078F" w:rsidRDefault="005A4181">
      <w:pPr>
        <w:pStyle w:val="Akapitzlist"/>
        <w:numPr>
          <w:ilvl w:val="0"/>
          <w:numId w:val="8"/>
        </w:numPr>
        <w:spacing w:before="120" w:after="0" w:line="276" w:lineRule="auto"/>
        <w:ind w:left="363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Podczas kwerend prowadzonych w Muzeum, o których mowa w ust.2 pkt 3, możliwe jest samodzielne wykonanie fotografii obiektów muzealnych na zasadach </w:t>
      </w:r>
      <w:r w:rsidR="00AA4ACE" w:rsidRPr="00F2078F">
        <w:rPr>
          <w:rFonts w:eastAsia="Times New Roman" w:cstheme="minorHAnsi"/>
          <w:lang w:eastAsia="pl-PL"/>
        </w:rPr>
        <w:t>ustalonych</w:t>
      </w:r>
      <w:r w:rsidRPr="00F2078F">
        <w:rPr>
          <w:rFonts w:eastAsia="Times New Roman" w:cstheme="minorHAnsi"/>
          <w:lang w:eastAsia="pl-PL"/>
        </w:rPr>
        <w:t xml:space="preserve"> z </w:t>
      </w:r>
      <w:r w:rsidR="00CE3E63" w:rsidRPr="00F2078F">
        <w:rPr>
          <w:rFonts w:eastAsia="Times New Roman" w:cstheme="minorHAnsi"/>
          <w:lang w:eastAsia="pl-PL"/>
        </w:rPr>
        <w:t>kierownikiem Działu Gromadzenia i Udostępniania Zbiorów</w:t>
      </w:r>
      <w:r w:rsidRPr="00F2078F">
        <w:rPr>
          <w:rFonts w:eastAsia="Times New Roman" w:cstheme="minorHAnsi"/>
          <w:lang w:eastAsia="pl-PL"/>
        </w:rPr>
        <w:t>. Dokumentacja wizualna udostępnionych do kwerendy zbiorów może być wykorzystywana jedynie do własnych celów badawczych.</w:t>
      </w:r>
      <w:r w:rsidR="00A74CD9" w:rsidRPr="00F2078F">
        <w:rPr>
          <w:rFonts w:eastAsia="Times New Roman" w:cstheme="minorHAnsi"/>
          <w:lang w:eastAsia="pl-PL"/>
        </w:rPr>
        <w:t xml:space="preserve"> </w:t>
      </w:r>
      <w:r w:rsidRPr="00F2078F">
        <w:rPr>
          <w:rFonts w:eastAsia="Times New Roman" w:cstheme="minorHAnsi"/>
          <w:lang w:eastAsia="pl-PL"/>
        </w:rPr>
        <w:t>W przypadku chęci pozyskania wizerunków muzealiów niezbędne jest złożenie wniosku o ich udostępnienie lub zlecenie wykonania fotografii przez Muzeum.</w:t>
      </w:r>
    </w:p>
    <w:p w14:paraId="283ABA71" w14:textId="0E428981" w:rsidR="00836ABB" w:rsidRPr="00F2078F" w:rsidRDefault="003F506B">
      <w:pPr>
        <w:pStyle w:val="Akapitzlist"/>
        <w:numPr>
          <w:ilvl w:val="0"/>
          <w:numId w:val="8"/>
        </w:numPr>
        <w:spacing w:before="120" w:after="120" w:line="276" w:lineRule="auto"/>
        <w:ind w:left="363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Opłat</w:t>
      </w:r>
      <w:r w:rsidR="00CE3E63" w:rsidRPr="00F2078F">
        <w:rPr>
          <w:rFonts w:eastAsia="Times New Roman" w:cstheme="minorHAnsi"/>
          <w:lang w:eastAsia="pl-PL"/>
        </w:rPr>
        <w:t>ę</w:t>
      </w:r>
      <w:r w:rsidRPr="00F2078F">
        <w:rPr>
          <w:rFonts w:eastAsia="Times New Roman" w:cstheme="minorHAnsi"/>
          <w:lang w:eastAsia="pl-PL"/>
        </w:rPr>
        <w:t xml:space="preserve"> za przeprowadzenie kwerendy na </w:t>
      </w:r>
      <w:r w:rsidR="00CB1185" w:rsidRPr="00F2078F">
        <w:rPr>
          <w:rFonts w:eastAsia="Times New Roman" w:cstheme="minorHAnsi"/>
          <w:lang w:eastAsia="pl-PL"/>
        </w:rPr>
        <w:t xml:space="preserve">zlecenie określa </w:t>
      </w:r>
      <w:r w:rsidR="00B65638" w:rsidRPr="00F2078F">
        <w:rPr>
          <w:rFonts w:eastAsia="Times New Roman" w:cstheme="minorHAnsi"/>
          <w:b/>
          <w:lang w:eastAsia="pl-PL"/>
        </w:rPr>
        <w:t>C</w:t>
      </w:r>
      <w:r w:rsidR="00CB1185" w:rsidRPr="00F2078F">
        <w:rPr>
          <w:rFonts w:eastAsia="Times New Roman" w:cstheme="minorHAnsi"/>
          <w:b/>
          <w:lang w:eastAsia="pl-PL"/>
        </w:rPr>
        <w:t xml:space="preserve">ennik przeprowadzania kwerend i ponownego wykorzystania informacji sektora </w:t>
      </w:r>
      <w:r w:rsidR="00505D60" w:rsidRPr="00F2078F">
        <w:rPr>
          <w:rFonts w:eastAsia="Times New Roman" w:cstheme="minorHAnsi"/>
          <w:b/>
          <w:lang w:eastAsia="pl-PL"/>
        </w:rPr>
        <w:t>publicznego</w:t>
      </w:r>
      <w:r w:rsidR="00505D60" w:rsidRPr="00F2078F">
        <w:rPr>
          <w:rFonts w:eastAsia="Times New Roman" w:cstheme="minorHAnsi"/>
          <w:lang w:eastAsia="pl-PL"/>
        </w:rPr>
        <w:t xml:space="preserve"> </w:t>
      </w:r>
      <w:r w:rsidR="00CE3E63" w:rsidRPr="00F2078F">
        <w:rPr>
          <w:rFonts w:eastAsia="Times New Roman" w:cstheme="minorHAnsi"/>
          <w:lang w:eastAsia="pl-PL"/>
        </w:rPr>
        <w:t xml:space="preserve">stanowiący </w:t>
      </w:r>
      <w:r w:rsidR="00397045" w:rsidRPr="00F2078F">
        <w:rPr>
          <w:rFonts w:eastAsia="Times New Roman" w:cstheme="minorHAnsi"/>
          <w:b/>
          <w:bCs/>
          <w:lang w:eastAsia="pl-PL"/>
        </w:rPr>
        <w:t>Z</w:t>
      </w:r>
      <w:r w:rsidR="00CB1185" w:rsidRPr="00F2078F">
        <w:rPr>
          <w:rFonts w:eastAsia="Times New Roman" w:cstheme="minorHAnsi"/>
          <w:b/>
          <w:bCs/>
          <w:lang w:eastAsia="pl-PL"/>
        </w:rPr>
        <w:t>ałącznik nr</w:t>
      </w:r>
      <w:r w:rsidR="00836ABB" w:rsidRPr="00F2078F">
        <w:rPr>
          <w:rFonts w:eastAsia="Times New Roman" w:cstheme="minorHAnsi"/>
          <w:b/>
          <w:bCs/>
          <w:lang w:eastAsia="pl-PL"/>
        </w:rPr>
        <w:t xml:space="preserve"> 4</w:t>
      </w:r>
      <w:r w:rsidR="00995FB6" w:rsidRPr="00F2078F">
        <w:rPr>
          <w:rFonts w:eastAsia="Times New Roman" w:cstheme="minorHAnsi"/>
          <w:b/>
          <w:bCs/>
          <w:lang w:eastAsia="pl-PL"/>
        </w:rPr>
        <w:t xml:space="preserve"> do Regulaminu</w:t>
      </w:r>
      <w:r w:rsidR="00505D60" w:rsidRPr="00F2078F">
        <w:rPr>
          <w:rFonts w:eastAsia="Times New Roman" w:cstheme="minorHAnsi"/>
          <w:b/>
          <w:bCs/>
          <w:lang w:eastAsia="pl-PL"/>
        </w:rPr>
        <w:t>.</w:t>
      </w:r>
    </w:p>
    <w:p w14:paraId="7646708B" w14:textId="2F0CDA78" w:rsidR="00836ABB" w:rsidRPr="00F2078F" w:rsidRDefault="003F506B">
      <w:pPr>
        <w:pStyle w:val="Akapitzlist"/>
        <w:numPr>
          <w:ilvl w:val="0"/>
          <w:numId w:val="8"/>
        </w:numPr>
        <w:spacing w:before="120" w:after="120" w:line="276" w:lineRule="auto"/>
        <w:ind w:left="363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W uzasadnionych przypadkach, po uzyskaniu zgody dyrektora Muzeum, opłata może zostać ustalona na innych warunkach. </w:t>
      </w:r>
      <w:r w:rsidR="00505D60" w:rsidRPr="00F2078F">
        <w:rPr>
          <w:rFonts w:eastAsia="Times New Roman" w:cstheme="minorHAnsi"/>
          <w:lang w:eastAsia="pl-PL"/>
        </w:rPr>
        <w:t>Uzasadnienie należy wpisać we wniosku o</w:t>
      </w:r>
      <w:r w:rsidRPr="00F2078F">
        <w:rPr>
          <w:rFonts w:eastAsia="Times New Roman" w:cstheme="minorHAnsi"/>
          <w:lang w:eastAsia="pl-PL"/>
        </w:rPr>
        <w:t xml:space="preserve"> przeprowadzenie kwerendy.</w:t>
      </w:r>
    </w:p>
    <w:p w14:paraId="2790262B" w14:textId="77777777" w:rsidR="00505D60" w:rsidRPr="00F2078F" w:rsidRDefault="003F506B">
      <w:pPr>
        <w:pStyle w:val="Akapitzlist"/>
        <w:numPr>
          <w:ilvl w:val="0"/>
          <w:numId w:val="8"/>
        </w:numPr>
        <w:spacing w:before="120" w:after="120" w:line="276" w:lineRule="auto"/>
        <w:ind w:left="363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przypadku konieczności wniesienia opłaty, Wnioskodawca zostanie poinformowany o jej wysokości, a następnie potwierdzi zakres zamówienia. Brak uregulowania opłaty w ciągu 14 dni kalendarzowych od daty potwierdzenia zamówienia może skutkować wycofaniem wniosku.</w:t>
      </w:r>
    </w:p>
    <w:p w14:paraId="53C1E211" w14:textId="132D61CF" w:rsidR="003F506B" w:rsidRPr="00F2078F" w:rsidRDefault="003F506B" w:rsidP="007965B4">
      <w:pPr>
        <w:pStyle w:val="Akapitzlist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Kwerendy są realizowane według kolejności zgłoszeń. </w:t>
      </w:r>
    </w:p>
    <w:p w14:paraId="3EABE048" w14:textId="5F0C1D0A" w:rsidR="003F506B" w:rsidRPr="00F2078F" w:rsidRDefault="005A4181" w:rsidP="005A4181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§3</w:t>
      </w:r>
    </w:p>
    <w:p w14:paraId="4A300604" w14:textId="18827D8E" w:rsidR="004B467A" w:rsidRPr="00F2078F" w:rsidRDefault="005A4181" w:rsidP="00AA4ACE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Zasady</w:t>
      </w:r>
      <w:r w:rsidR="004B467A" w:rsidRPr="00F2078F">
        <w:rPr>
          <w:rFonts w:eastAsia="Times New Roman" w:cstheme="minorHAnsi"/>
          <w:b/>
          <w:lang w:eastAsia="pl-PL"/>
        </w:rPr>
        <w:t xml:space="preserve"> </w:t>
      </w:r>
      <w:r w:rsidRPr="00F2078F">
        <w:rPr>
          <w:rFonts w:eastAsia="Times New Roman" w:cstheme="minorHAnsi"/>
          <w:b/>
          <w:lang w:eastAsia="pl-PL"/>
        </w:rPr>
        <w:t xml:space="preserve">udostępniania informacji sektora publicznego do ponownego wykorzystania </w:t>
      </w:r>
    </w:p>
    <w:p w14:paraId="13D88F20" w14:textId="77777777" w:rsidR="00A74CD9" w:rsidRPr="00F2078F" w:rsidRDefault="005A4181">
      <w:pPr>
        <w:pStyle w:val="Akapitzlist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Informacje sektora publicznego, które podlegają ponownemu wykorzystaniu to informacje:</w:t>
      </w:r>
    </w:p>
    <w:p w14:paraId="09378B1B" w14:textId="12CC242F" w:rsidR="00A74CD9" w:rsidRPr="00F2078F" w:rsidRDefault="00A74CD9" w:rsidP="00D52817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udostępnione na stronie Biuletynu Informacji Publicznej Muzeum Regionalnego w Pułtusku </w:t>
      </w:r>
      <w:r w:rsidR="00B65638" w:rsidRPr="00F2078F">
        <w:rPr>
          <w:rFonts w:eastAsia="Times New Roman" w:cstheme="minorHAnsi"/>
          <w:lang w:eastAsia="pl-PL"/>
        </w:rPr>
        <w:t>(www.muzeum-pultusk.bip.org.pl);</w:t>
      </w:r>
    </w:p>
    <w:p w14:paraId="32E041DF" w14:textId="69FA4966" w:rsidR="00A74CD9" w:rsidRPr="00F2078F" w:rsidRDefault="00A74CD9" w:rsidP="00D52817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udostępnione w serwisie internetowym Muzeum Regionalnego w </w:t>
      </w:r>
      <w:r w:rsidR="00B65638" w:rsidRPr="00F2078F">
        <w:rPr>
          <w:rFonts w:eastAsia="Times New Roman" w:cstheme="minorHAnsi"/>
          <w:lang w:eastAsia="pl-PL"/>
        </w:rPr>
        <w:t>Pułtusk</w:t>
      </w:r>
      <w:r w:rsidR="00D52817" w:rsidRPr="00F2078F">
        <w:rPr>
          <w:rFonts w:eastAsia="Times New Roman" w:cstheme="minorHAnsi"/>
          <w:lang w:eastAsia="pl-PL"/>
        </w:rPr>
        <w:t>u</w:t>
      </w:r>
      <w:r w:rsidR="00B65638" w:rsidRPr="00F2078F">
        <w:rPr>
          <w:rFonts w:eastAsia="Times New Roman" w:cstheme="minorHAnsi"/>
          <w:lang w:eastAsia="pl-PL"/>
        </w:rPr>
        <w:t xml:space="preserve"> (www.muzeum.pultusk.pl);</w:t>
      </w:r>
    </w:p>
    <w:p w14:paraId="604BC888" w14:textId="40D50D05" w:rsidR="00A74CD9" w:rsidRPr="00F2078F" w:rsidRDefault="00A74CD9" w:rsidP="00D52817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przekazan</w:t>
      </w:r>
      <w:r w:rsidR="00D52817" w:rsidRPr="00F2078F">
        <w:rPr>
          <w:rFonts w:eastAsia="Times New Roman" w:cstheme="minorHAnsi"/>
          <w:lang w:eastAsia="pl-PL"/>
        </w:rPr>
        <w:t>e</w:t>
      </w:r>
      <w:r w:rsidRPr="00F2078F">
        <w:rPr>
          <w:rFonts w:eastAsia="Times New Roman" w:cstheme="minorHAnsi"/>
          <w:lang w:eastAsia="pl-PL"/>
        </w:rPr>
        <w:t xml:space="preserve"> na wniosek o ponowne wykorzystywanie</w:t>
      </w:r>
      <w:r w:rsidR="00D52817" w:rsidRPr="00F2078F">
        <w:rPr>
          <w:rFonts w:eastAsia="Times New Roman" w:cstheme="minorHAnsi"/>
          <w:lang w:eastAsia="pl-PL"/>
        </w:rPr>
        <w:t xml:space="preserve"> informacji sektora publicznego.</w:t>
      </w:r>
    </w:p>
    <w:p w14:paraId="2C81C474" w14:textId="555730FB" w:rsidR="00903D9B" w:rsidRPr="00F2078F" w:rsidRDefault="00903D9B">
      <w:pPr>
        <w:pStyle w:val="Akapitzlist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cstheme="minorHAnsi"/>
        </w:rPr>
        <w:t>Jeśli dla danej informacji udostępnionej w BIP lub na stronie internetowej Muzeum nie zostały określone inne, odrębne warunki ponownego wykorzystywania, osoby fizyczne, osoby prawne i jednostki organizacyjne nieposiadające osobowości prawnej wykorzystujące te informacje w celu ich ponownego wykorzystywania są zobowiązane do</w:t>
      </w:r>
      <w:r w:rsidRPr="00F2078F">
        <w:rPr>
          <w:rFonts w:eastAsia="Times New Roman" w:cstheme="minorHAnsi"/>
          <w:lang w:eastAsia="pl-PL"/>
        </w:rPr>
        <w:t>:</w:t>
      </w:r>
    </w:p>
    <w:p w14:paraId="2A08A1D2" w14:textId="6A724FC3" w:rsidR="00903D9B" w:rsidRPr="00F2078F" w:rsidRDefault="00903D9B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cstheme="minorHAnsi"/>
        </w:rPr>
        <w:t>poinformowania o źródle, czasie wytworzenia i p</w:t>
      </w:r>
      <w:r w:rsidR="00B65638" w:rsidRPr="00F2078F">
        <w:rPr>
          <w:rFonts w:cstheme="minorHAnsi"/>
        </w:rPr>
        <w:t>ozyskania informacji publicznej;</w:t>
      </w:r>
    </w:p>
    <w:p w14:paraId="1A6657BE" w14:textId="14A1924C" w:rsidR="00903D9B" w:rsidRPr="00F2078F" w:rsidRDefault="00903D9B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cstheme="minorHAnsi"/>
        </w:rPr>
        <w:t>informowania o przetworzeniu informacji ponownie wykorzystywanej.</w:t>
      </w:r>
    </w:p>
    <w:p w14:paraId="55B79B8D" w14:textId="1D29C9BB" w:rsidR="00C433E1" w:rsidRPr="00F2078F" w:rsidRDefault="00A74CD9">
      <w:pPr>
        <w:pStyle w:val="Akapitzlist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lastRenderedPageBreak/>
        <w:t>Każdemu przysługuje prawo zwrócenia się do Muzeum z wnioskiem o ponowne wykorzystywanie informacji sektora publicznego</w:t>
      </w:r>
      <w:r w:rsidR="00C433E1" w:rsidRPr="00F2078F">
        <w:rPr>
          <w:rFonts w:eastAsia="Times New Roman" w:cstheme="minorHAnsi"/>
          <w:lang w:eastAsia="pl-PL"/>
        </w:rPr>
        <w:t xml:space="preserve">, </w:t>
      </w:r>
      <w:r w:rsidRPr="00F2078F">
        <w:rPr>
          <w:rFonts w:eastAsia="Times New Roman" w:cstheme="minorHAnsi"/>
          <w:lang w:eastAsia="pl-PL"/>
        </w:rPr>
        <w:t xml:space="preserve">na zasadach określonych w </w:t>
      </w:r>
      <w:r w:rsidR="00C433E1" w:rsidRPr="00F2078F">
        <w:rPr>
          <w:rFonts w:eastAsia="Times New Roman" w:cstheme="minorHAnsi"/>
          <w:lang w:eastAsia="pl-PL"/>
        </w:rPr>
        <w:t xml:space="preserve">niniejszym Regulaminie. </w:t>
      </w:r>
    </w:p>
    <w:p w14:paraId="3832C55E" w14:textId="77777777" w:rsidR="00C433E1" w:rsidRPr="00F2078F" w:rsidRDefault="00C433E1">
      <w:pPr>
        <w:pStyle w:val="Akapitzlist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Prawo do ponownego wykorzystywania informacji sektora publicznego podlega ograniczeniu:</w:t>
      </w:r>
    </w:p>
    <w:p w14:paraId="2F3D06F0" w14:textId="24F44A6E" w:rsidR="00C433E1" w:rsidRPr="00F2078F" w:rsidRDefault="00C433E1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zakresie informacji, do których Muzeum nie przysługują prawa autorskie</w:t>
      </w:r>
      <w:r w:rsidR="00B65638" w:rsidRPr="00F2078F">
        <w:rPr>
          <w:rFonts w:eastAsia="Times New Roman" w:cstheme="minorHAnsi"/>
          <w:lang w:eastAsia="pl-PL"/>
        </w:rPr>
        <w:t xml:space="preserve"> i prawa pokrewne;</w:t>
      </w:r>
    </w:p>
    <w:p w14:paraId="533FE89F" w14:textId="63464C20" w:rsidR="00C433E1" w:rsidRPr="00F2078F" w:rsidRDefault="00C433E1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zakresie informacji będących w posiadaniu Muzeum, w przypadku gdy pierwotnym właścicielem autorskich praw majątkowych lub praw pokrewnych były podmioty inne niż Muzeum, a cz</w:t>
      </w:r>
      <w:r w:rsidR="00B65638" w:rsidRPr="00F2078F">
        <w:rPr>
          <w:rFonts w:eastAsia="Times New Roman" w:cstheme="minorHAnsi"/>
          <w:lang w:eastAsia="pl-PL"/>
        </w:rPr>
        <w:t>as trwania tych praw nie wygasł;</w:t>
      </w:r>
    </w:p>
    <w:p w14:paraId="55CC07E2" w14:textId="1FDC8FA8" w:rsidR="00C433E1" w:rsidRPr="00F2078F" w:rsidRDefault="00C433E1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zakresie informacji powiązanych z depozytami znajdującymi się w posiadaniu Muzeum, o ile ich właściciele umownie wyłączyli możliwość ich udostępniania lub przekazywania w ca</w:t>
      </w:r>
      <w:r w:rsidR="00B65638" w:rsidRPr="00F2078F">
        <w:rPr>
          <w:rFonts w:eastAsia="Times New Roman" w:cstheme="minorHAnsi"/>
          <w:lang w:eastAsia="pl-PL"/>
        </w:rPr>
        <w:t>łości lub w określonym zakresie;</w:t>
      </w:r>
    </w:p>
    <w:p w14:paraId="0F574711" w14:textId="25460CD8" w:rsidR="00C433E1" w:rsidRPr="00F2078F" w:rsidRDefault="00C433E1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zakresie informacji, do których dostęp jest ograniczony na podstawie przepisów o ochronie informacji niejawnych oraz o ochronie innych taj</w:t>
      </w:r>
      <w:r w:rsidR="00B65638" w:rsidRPr="00F2078F">
        <w:rPr>
          <w:rFonts w:eastAsia="Times New Roman" w:cstheme="minorHAnsi"/>
          <w:lang w:eastAsia="pl-PL"/>
        </w:rPr>
        <w:t>emnic ustawowo chronionych;</w:t>
      </w:r>
    </w:p>
    <w:p w14:paraId="224E021D" w14:textId="1D168A61" w:rsidR="00C433E1" w:rsidRPr="00F2078F" w:rsidRDefault="00C433E1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zakresie informacji będących informacjami sektora publicznego, do których dostęp jest ograniczo</w:t>
      </w:r>
      <w:r w:rsidR="00B65638" w:rsidRPr="00F2078F">
        <w:rPr>
          <w:rFonts w:eastAsia="Times New Roman" w:cstheme="minorHAnsi"/>
          <w:lang w:eastAsia="pl-PL"/>
        </w:rPr>
        <w:t>ny na podstawie przepisów prawa;</w:t>
      </w:r>
    </w:p>
    <w:p w14:paraId="25B3C916" w14:textId="6F052A19" w:rsidR="00C433E1" w:rsidRPr="00F2078F" w:rsidRDefault="00C433E1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zakresie informacji sektora publicznego, których wytwarzanie przez Muzeum nie należy do zakresu jego zadań publiczny</w:t>
      </w:r>
      <w:r w:rsidR="00B65638" w:rsidRPr="00F2078F">
        <w:rPr>
          <w:rFonts w:eastAsia="Times New Roman" w:cstheme="minorHAnsi"/>
          <w:lang w:eastAsia="pl-PL"/>
        </w:rPr>
        <w:t>ch określonych przepisami prawa;</w:t>
      </w:r>
    </w:p>
    <w:p w14:paraId="7D360D75" w14:textId="3D2FA3EC" w:rsidR="00C433E1" w:rsidRPr="00F2078F" w:rsidRDefault="00C433E1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w zakresie informacji służących zapewnieniu bezpieczeństwa zbiorom ze względu na ochronę przed zagrożeniem pożarowym, kradzieżą lub innego rodzaju niebezpieczeństwem, które grozi zniszczeniem lub utratą </w:t>
      </w:r>
      <w:r w:rsidR="00B65638" w:rsidRPr="00F2078F">
        <w:rPr>
          <w:rFonts w:eastAsia="Times New Roman" w:cstheme="minorHAnsi"/>
          <w:lang w:eastAsia="pl-PL"/>
        </w:rPr>
        <w:t>zbiorów;</w:t>
      </w:r>
    </w:p>
    <w:p w14:paraId="1DAF31C0" w14:textId="77777777" w:rsidR="00C433E1" w:rsidRPr="00F2078F" w:rsidRDefault="00C433E1">
      <w:pPr>
        <w:pStyle w:val="Akapitzlist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ze względu na prywatność osoby fizycznej lub tajemnicę przedsiębiorcy. Ograniczenie to nie dotyczy informacji o osobach pełniących funkcje publiczne, mających związek z pełnieniem tych funkcji, w tym o warunkach powierzenia i wykonywania funkcji, oraz przypadku gdy osoba fizyczna lub przedsiębiorca rezygnują z przysługującego im prawa.</w:t>
      </w:r>
    </w:p>
    <w:p w14:paraId="6408221C" w14:textId="77777777" w:rsidR="004E55AA" w:rsidRPr="00F2078F" w:rsidRDefault="004E55AA">
      <w:pPr>
        <w:pStyle w:val="Akapitzlist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cstheme="minorHAnsi"/>
        </w:rPr>
        <w:t>Muzeum nie ponosi odpowiedzialności za ponowne wykorzystanie udostępnionej lub przekazanej informacji sektora publicznego w sposób naruszający porządek prawny.</w:t>
      </w:r>
    </w:p>
    <w:p w14:paraId="28B2C79F" w14:textId="3FB84D2C" w:rsidR="00397045" w:rsidRPr="00F2078F" w:rsidRDefault="004E55AA" w:rsidP="007965B4">
      <w:pPr>
        <w:pStyle w:val="Akapitzlist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cstheme="minorHAnsi"/>
        </w:rPr>
        <w:t>Muzeum nie ponosi odpowiedzialności za wykorzystywanie informacji stanowiącej utwór lub bazę danych przez podmiot ponownie wykorzystujący informację sektora publicznego w zakresie przekraczającym uprawnienia Muzeum do wykorzystania utworu lub bazy danych.</w:t>
      </w:r>
    </w:p>
    <w:p w14:paraId="0D8A8D4B" w14:textId="77777777" w:rsidR="004E55AA" w:rsidRPr="00F2078F" w:rsidRDefault="004E55AA" w:rsidP="004E55AA">
      <w:pPr>
        <w:spacing w:before="60" w:after="60" w:line="276" w:lineRule="auto"/>
        <w:jc w:val="center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§3</w:t>
      </w:r>
    </w:p>
    <w:p w14:paraId="607DB480" w14:textId="6CD92F28" w:rsidR="004E55AA" w:rsidRPr="00F2078F" w:rsidRDefault="004E55AA" w:rsidP="00AA4ACE">
      <w:pPr>
        <w:spacing w:before="120" w:after="12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F2078F">
        <w:rPr>
          <w:rFonts w:eastAsia="Times New Roman" w:cstheme="minorHAnsi"/>
          <w:b/>
          <w:bCs/>
          <w:lang w:eastAsia="pl-PL"/>
        </w:rPr>
        <w:t xml:space="preserve">Sposób rozpatrywania wniosków o ponowne </w:t>
      </w:r>
      <w:r w:rsidRPr="00F2078F">
        <w:rPr>
          <w:rFonts w:eastAsia="Times New Roman" w:cstheme="minorHAnsi"/>
          <w:b/>
          <w:lang w:eastAsia="pl-PL"/>
        </w:rPr>
        <w:t xml:space="preserve">wykorzystanie informacji sektora publicznego </w:t>
      </w:r>
      <w:r w:rsidR="00773209" w:rsidRPr="00F2078F">
        <w:rPr>
          <w:rFonts w:eastAsia="Times New Roman" w:cstheme="minorHAnsi"/>
          <w:b/>
          <w:lang w:eastAsia="pl-PL"/>
        </w:rPr>
        <w:t xml:space="preserve">pochodzących </w:t>
      </w:r>
      <w:r w:rsidRPr="00F2078F">
        <w:rPr>
          <w:rFonts w:eastAsia="Times New Roman" w:cstheme="minorHAnsi"/>
          <w:b/>
          <w:lang w:eastAsia="pl-PL"/>
        </w:rPr>
        <w:t>ze zbiorów Muzeum Regionalnego w Pułtusku</w:t>
      </w:r>
    </w:p>
    <w:p w14:paraId="7A667CE6" w14:textId="4465963B" w:rsidR="00177B13" w:rsidRPr="00F2078F" w:rsidRDefault="00177B13" w:rsidP="00177B13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bCs/>
          <w:lang w:eastAsia="pl-PL"/>
        </w:rPr>
        <w:t xml:space="preserve">Ponowne </w:t>
      </w:r>
      <w:r w:rsidRPr="00F2078F">
        <w:rPr>
          <w:rFonts w:eastAsia="Times New Roman" w:cstheme="minorHAnsi"/>
          <w:lang w:eastAsia="pl-PL"/>
        </w:rPr>
        <w:t>wykorzystanie informacji sektora publicznego pochodzących ze zbiorów Muzeum Regionalnego w Pułtusku (drukowanych lub cyfrowych odwzorowa</w:t>
      </w:r>
      <w:r w:rsidR="00354A9D" w:rsidRPr="00F2078F">
        <w:rPr>
          <w:rFonts w:eastAsia="Times New Roman" w:cstheme="minorHAnsi"/>
          <w:lang w:eastAsia="pl-PL"/>
        </w:rPr>
        <w:t>ń</w:t>
      </w:r>
      <w:r w:rsidRPr="00F2078F">
        <w:rPr>
          <w:rFonts w:eastAsia="Times New Roman" w:cstheme="minorHAnsi"/>
          <w:lang w:eastAsia="pl-PL"/>
        </w:rPr>
        <w:t xml:space="preserve"> obiektów muzealnych) odbywa się na podstawie przesłanego drogą elektroniczną</w:t>
      </w:r>
      <w:r w:rsidR="00354A9D" w:rsidRPr="00F2078F">
        <w:rPr>
          <w:rFonts w:eastAsia="Times New Roman" w:cstheme="minorHAnsi"/>
          <w:lang w:eastAsia="pl-PL"/>
        </w:rPr>
        <w:t xml:space="preserve"> wniosku, o którym mowa w ust. 3</w:t>
      </w:r>
      <w:r w:rsidRPr="00F2078F">
        <w:rPr>
          <w:rFonts w:eastAsia="Times New Roman" w:cstheme="minorHAnsi"/>
          <w:lang w:eastAsia="pl-PL"/>
        </w:rPr>
        <w:t xml:space="preserve">. na adres e-mail: muzeum@pultusk.pl lub drogą pocztową na adres: Muzeum Regionalne w Pułtusku, ul. Rynek 43, 06-100 Pułtusk. W przypadku niespełnienia wymogów formalnych wniosku, Wnioskodawca zostanie wezwany do usunięcia braków w terminie 7 dni kalendarzowych od otrzymania wezwania. Brak ich uzupełnienia jest równoznaczny z wycofaniem wniosku. </w:t>
      </w:r>
    </w:p>
    <w:p w14:paraId="1B63A977" w14:textId="77777777" w:rsidR="00177B13" w:rsidRPr="00F2078F" w:rsidRDefault="00773209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Postępowanie z wnioskiem reguluje Ustawa z dnia 11 sierpnia 2021 r. o otwartych danych i ponownym wykorzystaniu informacji sektora publicznego. </w:t>
      </w:r>
    </w:p>
    <w:p w14:paraId="31AEF669" w14:textId="5969004A" w:rsidR="00773209" w:rsidRPr="00F2078F" w:rsidRDefault="00E16D98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lastRenderedPageBreak/>
        <w:t xml:space="preserve">Wzór </w:t>
      </w:r>
      <w:r w:rsidR="00995FB6" w:rsidRPr="00F2078F">
        <w:rPr>
          <w:rFonts w:eastAsia="Times New Roman" w:cstheme="minorHAnsi"/>
          <w:b/>
          <w:iCs/>
          <w:lang w:eastAsia="pl-PL"/>
        </w:rPr>
        <w:t>W</w:t>
      </w:r>
      <w:r w:rsidRPr="00F2078F">
        <w:rPr>
          <w:rFonts w:eastAsia="Times New Roman" w:cstheme="minorHAnsi"/>
          <w:b/>
          <w:iCs/>
          <w:lang w:eastAsia="pl-PL"/>
        </w:rPr>
        <w:t xml:space="preserve">niosku o ponowne wykorzystywanie informacji sektora publicznego będących w posiadaniu Muzeum </w:t>
      </w:r>
      <w:r w:rsidR="00995FB6" w:rsidRPr="00F2078F">
        <w:rPr>
          <w:rFonts w:eastAsia="Times New Roman" w:cstheme="minorHAnsi"/>
          <w:b/>
          <w:iCs/>
          <w:lang w:eastAsia="pl-PL"/>
        </w:rPr>
        <w:t>R</w:t>
      </w:r>
      <w:r w:rsidRPr="00F2078F">
        <w:rPr>
          <w:rFonts w:eastAsia="Times New Roman" w:cstheme="minorHAnsi"/>
          <w:b/>
          <w:iCs/>
          <w:lang w:eastAsia="pl-PL"/>
        </w:rPr>
        <w:t>egionalnego</w:t>
      </w:r>
      <w:r w:rsidRPr="00F2078F">
        <w:rPr>
          <w:rFonts w:eastAsia="Times New Roman" w:cstheme="minorHAnsi"/>
          <w:i/>
          <w:iCs/>
          <w:lang w:eastAsia="pl-PL"/>
        </w:rPr>
        <w:t xml:space="preserve"> </w:t>
      </w:r>
      <w:r w:rsidRPr="00F2078F">
        <w:rPr>
          <w:rFonts w:eastAsia="Times New Roman" w:cstheme="minorHAnsi"/>
          <w:b/>
          <w:iCs/>
          <w:lang w:eastAsia="pl-PL"/>
        </w:rPr>
        <w:t>w Pułtusku</w:t>
      </w:r>
      <w:r w:rsidRPr="00F2078F">
        <w:rPr>
          <w:rFonts w:eastAsia="Times New Roman" w:cstheme="minorHAnsi"/>
          <w:i/>
          <w:iCs/>
          <w:lang w:eastAsia="pl-PL"/>
        </w:rPr>
        <w:t xml:space="preserve"> </w:t>
      </w:r>
      <w:r w:rsidRPr="00F2078F">
        <w:rPr>
          <w:rFonts w:eastAsia="Times New Roman" w:cstheme="minorHAnsi"/>
          <w:lang w:eastAsia="pl-PL"/>
        </w:rPr>
        <w:t xml:space="preserve">stanowi </w:t>
      </w:r>
      <w:r w:rsidR="00397045" w:rsidRPr="00F2078F">
        <w:rPr>
          <w:rFonts w:eastAsia="Times New Roman" w:cstheme="minorHAnsi"/>
          <w:b/>
          <w:lang w:eastAsia="pl-PL"/>
        </w:rPr>
        <w:t>Z</w:t>
      </w:r>
      <w:r w:rsidRPr="00F2078F">
        <w:rPr>
          <w:rFonts w:eastAsia="Times New Roman" w:cstheme="minorHAnsi"/>
          <w:b/>
          <w:lang w:eastAsia="pl-PL"/>
        </w:rPr>
        <w:t>ałącznik nr 2</w:t>
      </w:r>
      <w:r w:rsidR="00995FB6" w:rsidRPr="00F2078F">
        <w:rPr>
          <w:rFonts w:eastAsia="Times New Roman" w:cstheme="minorHAnsi"/>
          <w:b/>
          <w:lang w:eastAsia="pl-PL"/>
        </w:rPr>
        <w:t xml:space="preserve"> do Regulaminu</w:t>
      </w:r>
      <w:r w:rsidRPr="00F2078F">
        <w:rPr>
          <w:rFonts w:eastAsia="Times New Roman" w:cstheme="minorHAnsi"/>
          <w:lang w:eastAsia="pl-PL"/>
        </w:rPr>
        <w:t>.</w:t>
      </w:r>
    </w:p>
    <w:p w14:paraId="27880D92" w14:textId="34E5BE43" w:rsidR="00773209" w:rsidRPr="00F2078F" w:rsidRDefault="00773209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Warunki udostępniania informacji sektora publicznego w celu ponownego wykorzystywania określa się odrębnie dla każdego wniosku i przekazuje je wnioskodawcy.  </w:t>
      </w:r>
    </w:p>
    <w:p w14:paraId="773A148C" w14:textId="5489E52A" w:rsidR="00E16D98" w:rsidRPr="00F2078F" w:rsidRDefault="00C433E1" w:rsidP="00397045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Muzeum rozpatruje wnioski nie później niż w terminie 14 dni kalendarzowych od dnia otrzymania wniosku bez braków formalnych. Jeżeli wniosek nie może zostać rozpatrzony w terminie 14 dni kalendarzowych, Muzeum w tym terminie zawiadomi Wnioskodawcę o przyczynach opóźnienia oraz o terminie, w jakim rozpatrzy wniosek, nie dłuższym jednak niż 2 miesiące od dnia złożenia tego wniosku bez braków formalnych.</w:t>
      </w:r>
      <w:r w:rsidR="00E16D98" w:rsidRPr="00F2078F">
        <w:rPr>
          <w:rFonts w:eastAsia="Times New Roman" w:cstheme="minorHAnsi"/>
          <w:lang w:eastAsia="pl-PL"/>
        </w:rPr>
        <w:t xml:space="preserve"> </w:t>
      </w:r>
    </w:p>
    <w:p w14:paraId="7B6BC354" w14:textId="77777777" w:rsidR="00773209" w:rsidRPr="00F2078F" w:rsidRDefault="00862B09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Podstawą przekazania informacji jest zaakceptowany przez Muzeum wniosek o udostepnienie albo umowa zawierana z Wnioskodawcą. </w:t>
      </w:r>
    </w:p>
    <w:p w14:paraId="48526F2D" w14:textId="6C29C3ED" w:rsidR="00EA1630" w:rsidRPr="00F2078F" w:rsidRDefault="00773209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Muzeum Regionalne w Pułtusku jest również właścicielem </w:t>
      </w:r>
      <w:r w:rsidR="00F97E06" w:rsidRPr="00F2078F">
        <w:rPr>
          <w:rFonts w:eastAsia="Times New Roman" w:cstheme="minorHAnsi"/>
          <w:lang w:eastAsia="pl-PL"/>
        </w:rPr>
        <w:t>obiektów muzealnych</w:t>
      </w:r>
      <w:r w:rsidRPr="00F2078F">
        <w:rPr>
          <w:rFonts w:eastAsia="Times New Roman" w:cstheme="minorHAnsi"/>
          <w:lang w:eastAsia="pl-PL"/>
        </w:rPr>
        <w:t>, do których nie posiada stosownych praw lub są one ograniczone. Przy procedurze ich udostępnienia Muzeum zastrzega, że wykorzystanie kopii cyfrowych wymaga od Wnioskodawcy odrębnego uregulowania kwestii praw, w szczególności praw autorskich bezpośrednio z autorem lub jego spadkobiercami lub dysponentami praw, z zachowaniem ustawy z dnia</w:t>
      </w:r>
      <w:r w:rsidR="000F7E7F" w:rsidRPr="00F2078F">
        <w:rPr>
          <w:rFonts w:eastAsia="Times New Roman" w:cstheme="minorHAnsi"/>
          <w:lang w:eastAsia="pl-PL"/>
        </w:rPr>
        <w:t xml:space="preserve"> </w:t>
      </w:r>
      <w:r w:rsidRPr="00F2078F">
        <w:rPr>
          <w:rFonts w:eastAsia="Times New Roman" w:cstheme="minorHAnsi"/>
          <w:lang w:eastAsia="pl-PL"/>
        </w:rPr>
        <w:t xml:space="preserve">4 lutego 1994 roku o ochronie praw autorskich i prawach pokrewnych, w tym w szczególności w zakresie prawa </w:t>
      </w:r>
      <w:r w:rsidR="00452D7A">
        <w:rPr>
          <w:rFonts w:eastAsia="Times New Roman" w:cstheme="minorHAnsi"/>
          <w:lang w:eastAsia="pl-PL"/>
        </w:rPr>
        <w:t>do korzystania z wizerunku osób.</w:t>
      </w:r>
    </w:p>
    <w:p w14:paraId="721DD9C6" w14:textId="77777777" w:rsidR="00E21512" w:rsidRPr="00F2078F" w:rsidRDefault="00E21512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Muzeum po rozpatrzeniu wniosku:</w:t>
      </w:r>
    </w:p>
    <w:p w14:paraId="5E1D2F33" w14:textId="77777777" w:rsidR="00E21512" w:rsidRPr="00F2078F" w:rsidRDefault="00E21512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przekazuje informację sektora publicznego w celu ponownego wykorzystywania bez określania warunków ponownego wykorzystywania;</w:t>
      </w:r>
    </w:p>
    <w:p w14:paraId="0DB6C765" w14:textId="77777777" w:rsidR="00E21512" w:rsidRPr="00F2078F" w:rsidRDefault="00E21512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informuje o braku warunków ponownego wykorzystywania w przypadku posiadania informacji sektora publicznego przez Wnioskodawcę;</w:t>
      </w:r>
    </w:p>
    <w:p w14:paraId="135A3B43" w14:textId="7299B4B7" w:rsidR="00E21512" w:rsidRPr="00F2078F" w:rsidRDefault="00E21512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składa ofertę zawierającą warunki ponownego wykorzystywania lub informację o wysokości opłat za ponowne wykorzystywanie;</w:t>
      </w:r>
    </w:p>
    <w:p w14:paraId="3432AE95" w14:textId="77777777" w:rsidR="00EA1630" w:rsidRPr="00F2078F" w:rsidRDefault="00E21512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odmawia, w drodze decyzji, wyrażenia zgody na ponowne wykorzystywanie informacji sektora publicznego.</w:t>
      </w:r>
    </w:p>
    <w:p w14:paraId="65EA16A7" w14:textId="6073E1A7" w:rsidR="00EA1630" w:rsidRPr="00F2078F" w:rsidRDefault="00EA1630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Procedura udostępnienia informacji zależy od statusu prawnego i autorskiego obiektu muzealnego.</w:t>
      </w:r>
    </w:p>
    <w:p w14:paraId="4E0C446A" w14:textId="4F23A198" w:rsidR="00EA1630" w:rsidRPr="00F2078F" w:rsidRDefault="00EA1630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przypadk</w:t>
      </w:r>
      <w:r w:rsidR="00354A9D" w:rsidRPr="00F2078F">
        <w:rPr>
          <w:rFonts w:eastAsia="Times New Roman" w:cstheme="minorHAnsi"/>
          <w:lang w:eastAsia="pl-PL"/>
        </w:rPr>
        <w:t>u</w:t>
      </w:r>
      <w:r w:rsidRPr="00F2078F">
        <w:rPr>
          <w:rFonts w:eastAsia="Times New Roman" w:cstheme="minorHAnsi"/>
          <w:lang w:eastAsia="pl-PL"/>
        </w:rPr>
        <w:t xml:space="preserve"> obiektów </w:t>
      </w:r>
      <w:r w:rsidR="00F97E06" w:rsidRPr="00F2078F">
        <w:rPr>
          <w:rFonts w:eastAsia="Times New Roman" w:cstheme="minorHAnsi"/>
          <w:lang w:eastAsia="pl-PL"/>
        </w:rPr>
        <w:t xml:space="preserve">muzealnych </w:t>
      </w:r>
      <w:r w:rsidRPr="00F2078F">
        <w:rPr>
          <w:rFonts w:eastAsia="Times New Roman" w:cstheme="minorHAnsi"/>
          <w:lang w:eastAsia="pl-PL"/>
        </w:rPr>
        <w:t xml:space="preserve">znajdujących się w domenie publicznej  (nieobjętych autorskim prawem majątkowym lub do których prawa już wygasły), udostępnienie następuje na podstawie przesłanego </w:t>
      </w:r>
      <w:r w:rsidRPr="00F2078F">
        <w:rPr>
          <w:rFonts w:eastAsia="Times New Roman" w:cstheme="minorHAnsi"/>
          <w:iCs/>
          <w:lang w:eastAsia="pl-PL"/>
        </w:rPr>
        <w:t>wniosku, o którym mowa w ust. 1,</w:t>
      </w:r>
    </w:p>
    <w:p w14:paraId="089C845B" w14:textId="0F7B4528" w:rsidR="00EA1630" w:rsidRPr="00F2078F" w:rsidRDefault="00EA1630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przypadku obiektów</w:t>
      </w:r>
      <w:r w:rsidR="00F97E06" w:rsidRPr="00F2078F">
        <w:rPr>
          <w:rFonts w:eastAsia="Times New Roman" w:cstheme="minorHAnsi"/>
          <w:lang w:eastAsia="pl-PL"/>
        </w:rPr>
        <w:t xml:space="preserve"> muzealnych</w:t>
      </w:r>
      <w:r w:rsidRPr="00F2078F">
        <w:rPr>
          <w:rFonts w:eastAsia="Times New Roman" w:cstheme="minorHAnsi"/>
          <w:lang w:eastAsia="pl-PL"/>
        </w:rPr>
        <w:t>, do których Muzeum posiada autorskie prawa majątkowe lub licencję na wykorzystanie jest konieczne podpisanie umowy licencyjnej lub sublicencyjnej;</w:t>
      </w:r>
    </w:p>
    <w:p w14:paraId="409F9A5A" w14:textId="3C36180B" w:rsidR="00EA1630" w:rsidRPr="00F2078F" w:rsidRDefault="00EA1630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w przypadku obiektów </w:t>
      </w:r>
      <w:r w:rsidR="00F97E06" w:rsidRPr="00F2078F">
        <w:rPr>
          <w:rFonts w:eastAsia="Times New Roman" w:cstheme="minorHAnsi"/>
          <w:lang w:eastAsia="pl-PL"/>
        </w:rPr>
        <w:t xml:space="preserve">muzealnych </w:t>
      </w:r>
      <w:r w:rsidRPr="00F2078F">
        <w:rPr>
          <w:rFonts w:eastAsia="Times New Roman" w:cstheme="minorHAnsi"/>
          <w:lang w:eastAsia="pl-PL"/>
        </w:rPr>
        <w:t xml:space="preserve">o nieokreślonym statusie prawnoautorskim lub objętych autorskim prawem majątkowym, którego dysponentem nie jest Muzeum do wniosku należy dołączyć </w:t>
      </w:r>
      <w:r w:rsidRPr="00F2078F">
        <w:rPr>
          <w:rFonts w:eastAsia="Times New Roman" w:cstheme="minorHAnsi"/>
          <w:b/>
          <w:lang w:eastAsia="pl-PL"/>
        </w:rPr>
        <w:t>Oświadczenie</w:t>
      </w:r>
      <w:r w:rsidRPr="00F2078F">
        <w:rPr>
          <w:rFonts w:eastAsia="Times New Roman" w:cstheme="minorHAnsi"/>
          <w:lang w:eastAsia="pl-PL"/>
        </w:rPr>
        <w:t xml:space="preserve">, które stanowi </w:t>
      </w:r>
      <w:r w:rsidR="005F2E7B" w:rsidRPr="00F2078F">
        <w:rPr>
          <w:rFonts w:eastAsia="Times New Roman" w:cstheme="minorHAnsi"/>
          <w:b/>
          <w:bCs/>
          <w:lang w:eastAsia="pl-PL"/>
        </w:rPr>
        <w:t>Z</w:t>
      </w:r>
      <w:r w:rsidRPr="00F2078F">
        <w:rPr>
          <w:rFonts w:eastAsia="Times New Roman" w:cstheme="minorHAnsi"/>
          <w:b/>
          <w:bCs/>
          <w:lang w:eastAsia="pl-PL"/>
        </w:rPr>
        <w:t>ałącznik nr 3</w:t>
      </w:r>
      <w:r w:rsidR="00A24FFF" w:rsidRPr="00F2078F">
        <w:rPr>
          <w:rFonts w:eastAsia="Times New Roman" w:cstheme="minorHAnsi"/>
          <w:b/>
          <w:bCs/>
          <w:lang w:eastAsia="pl-PL"/>
        </w:rPr>
        <w:t xml:space="preserve"> do Regulaminu</w:t>
      </w:r>
      <w:r w:rsidRPr="00F2078F">
        <w:rPr>
          <w:rFonts w:eastAsia="Times New Roman" w:cstheme="minorHAnsi"/>
          <w:b/>
          <w:bCs/>
          <w:lang w:eastAsia="pl-PL"/>
        </w:rPr>
        <w:t>.</w:t>
      </w:r>
    </w:p>
    <w:p w14:paraId="64AB9696" w14:textId="43C7E006" w:rsidR="00EA1630" w:rsidRPr="00F2078F" w:rsidRDefault="00E21512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przypadku określenia warunków udostępnienia lub określenia wysokości opłaty, Wnioskodawca w terminie 14 dni od ich otrzymania może złożyć sprzeciw z powodu naruszenia przepisów ustawy albo zawiadomić Muzeum o przyjęciu warunków. Brak zawiadomienia o przyjęciu oferty w terminie 14 dni od dnia otrzymania warunków (oferty) jest równoznaczny z wycofaniem wniosku.</w:t>
      </w:r>
    </w:p>
    <w:p w14:paraId="07BA37B4" w14:textId="77777777" w:rsidR="00E21512" w:rsidRPr="00F2078F" w:rsidRDefault="00E21512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przypadku otrzymania sprzeciwu, Muzeum w drodze decyzji, rozstrzyga o warunkach ponownego wykorzystywania lub o wysokości opłat za ponowne wykorzystywanie.</w:t>
      </w:r>
    </w:p>
    <w:p w14:paraId="7365E394" w14:textId="51DF39DA" w:rsidR="00E21512" w:rsidRPr="00F2078F" w:rsidRDefault="00E21512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lastRenderedPageBreak/>
        <w:t xml:space="preserve">Do decyzji o warunkach ponownego wykorzystywania lub o wysokości opłat za ponowne wykorzystywanie stosuje się przepisy ustawy z dnia 14 czerwca 1960 roku – Kodeks </w:t>
      </w:r>
      <w:r w:rsidR="00F2078F" w:rsidRPr="00F2078F">
        <w:rPr>
          <w:rFonts w:eastAsia="Times New Roman" w:cstheme="minorHAnsi"/>
          <w:lang w:eastAsia="pl-PL"/>
        </w:rPr>
        <w:t>postępowania administracyjnego.</w:t>
      </w:r>
    </w:p>
    <w:p w14:paraId="536E30FB" w14:textId="77777777" w:rsidR="007F6251" w:rsidRPr="00F2078F" w:rsidRDefault="007F6251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Ustalając wysokość opłaty uwzględnia się koszty przygotowania lub udostępnienia informacji sektora publicznego w określony sposób i w określonej formie oraz inne czynniki brane pod uwagę przy rozpatrywaniu wniosków o ponowne wykorzystywanie, które mogą mieć wpływ w szczególności na koszt lub czas przygotowania lub przekazania informacji. W szczególności uwzględnia się:</w:t>
      </w:r>
    </w:p>
    <w:p w14:paraId="503148FA" w14:textId="33736A50" w:rsidR="007F6251" w:rsidRPr="00F2078F" w:rsidRDefault="007F6251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koszty wytworzenia</w:t>
      </w:r>
      <w:r w:rsidR="00A24FFF" w:rsidRPr="00F2078F">
        <w:rPr>
          <w:rFonts w:eastAsia="Times New Roman" w:cstheme="minorHAnsi"/>
          <w:lang w:eastAsia="pl-PL"/>
        </w:rPr>
        <w:t xml:space="preserve"> lub przekształcenia informacji;</w:t>
      </w:r>
    </w:p>
    <w:p w14:paraId="0DD8C324" w14:textId="531BC721" w:rsidR="007F6251" w:rsidRPr="00F2078F" w:rsidRDefault="007F6251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koszt nośnika danych i materiałów wykorzystanych do wytworzenia</w:t>
      </w:r>
      <w:r w:rsidR="00A24FFF" w:rsidRPr="00F2078F">
        <w:rPr>
          <w:rFonts w:eastAsia="Times New Roman" w:cstheme="minorHAnsi"/>
          <w:lang w:eastAsia="pl-PL"/>
        </w:rPr>
        <w:t xml:space="preserve"> lub przekształcenia informacji;</w:t>
      </w:r>
    </w:p>
    <w:p w14:paraId="6FCA110E" w14:textId="4F999F08" w:rsidR="007F6251" w:rsidRPr="00F2078F" w:rsidRDefault="00A24FFF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koszt wysyłki;</w:t>
      </w:r>
    </w:p>
    <w:p w14:paraId="38CBD6B6" w14:textId="136AFD44" w:rsidR="007F6251" w:rsidRPr="00F2078F" w:rsidRDefault="007F6251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s</w:t>
      </w:r>
      <w:r w:rsidR="00A24FFF" w:rsidRPr="00F2078F">
        <w:rPr>
          <w:rFonts w:eastAsia="Times New Roman" w:cstheme="minorHAnsi"/>
          <w:lang w:eastAsia="pl-PL"/>
        </w:rPr>
        <w:t>zacowany koszt pracy pracownika;</w:t>
      </w:r>
    </w:p>
    <w:p w14:paraId="315E52F9" w14:textId="6685DF13" w:rsidR="007F6251" w:rsidRPr="00F2078F" w:rsidRDefault="007F6251">
      <w:pPr>
        <w:pStyle w:val="Akapitzlist"/>
        <w:numPr>
          <w:ilvl w:val="1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koszty gromadzenia, reprodukowania, rozpowszechniania, ochrony i ustalania praw.</w:t>
      </w:r>
    </w:p>
    <w:p w14:paraId="28A09FF6" w14:textId="4EC617C6" w:rsidR="00F97E06" w:rsidRPr="00F2078F" w:rsidRDefault="007F6251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W przypadku udostępniania lub przekazywania informacji sektora publicznego do ponownego wykorzystywania w celach innych niż niekomercyjne o charakterze badawczym, naukowym lub edukacyjnym Muzeum może nałożyć opłaty wyższe ni</w:t>
      </w:r>
      <w:r w:rsidR="00452D7A">
        <w:rPr>
          <w:rFonts w:eastAsia="Times New Roman" w:cstheme="minorHAnsi"/>
          <w:lang w:eastAsia="pl-PL"/>
        </w:rPr>
        <w:t>ż wynikające z pokrycia kosztów, o których mowa w ust. 13</w:t>
      </w:r>
      <w:r w:rsidRPr="00F2078F">
        <w:rPr>
          <w:rFonts w:eastAsia="Times New Roman" w:cstheme="minorHAnsi"/>
          <w:lang w:eastAsia="pl-PL"/>
        </w:rPr>
        <w:t>. Łączna wysokość opłaty nie może przekroczyć sumy tych kosztów wraz z rozsądnym zwrotem z inwestycji, jednak nie wyższym niż</w:t>
      </w:r>
      <w:r w:rsidR="00452D7A">
        <w:rPr>
          <w:rFonts w:eastAsia="Times New Roman" w:cstheme="minorHAnsi"/>
          <w:lang w:eastAsia="pl-PL"/>
        </w:rPr>
        <w:t xml:space="preserve"> </w:t>
      </w:r>
      <w:r w:rsidRPr="00F2078F">
        <w:rPr>
          <w:rFonts w:eastAsia="Times New Roman" w:cstheme="minorHAnsi"/>
          <w:lang w:eastAsia="pl-PL"/>
        </w:rPr>
        <w:t>5 p</w:t>
      </w:r>
      <w:r w:rsidR="00452D7A">
        <w:rPr>
          <w:rFonts w:eastAsia="Times New Roman" w:cstheme="minorHAnsi"/>
          <w:lang w:eastAsia="pl-PL"/>
        </w:rPr>
        <w:t>kt.</w:t>
      </w:r>
      <w:r w:rsidRPr="00F2078F">
        <w:rPr>
          <w:rFonts w:eastAsia="Times New Roman" w:cstheme="minorHAnsi"/>
          <w:lang w:eastAsia="pl-PL"/>
        </w:rPr>
        <w:t xml:space="preserve"> procentowych powyżej stopy referencyjnej Narodowego Banku Polskiego.</w:t>
      </w:r>
    </w:p>
    <w:p w14:paraId="51C959E8" w14:textId="77777777" w:rsidR="00FF4C0B" w:rsidRPr="00F2078F" w:rsidRDefault="007F6251" w:rsidP="00FF4C0B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Opłaty za przygotowanie lub udostepnienie informacji sektora publicznego zawarte są w </w:t>
      </w:r>
      <w:r w:rsidR="00A24FFF" w:rsidRPr="00F2078F">
        <w:rPr>
          <w:rFonts w:eastAsia="Times New Roman" w:cstheme="minorHAnsi"/>
          <w:b/>
          <w:lang w:eastAsia="pl-PL"/>
        </w:rPr>
        <w:t>C</w:t>
      </w:r>
      <w:r w:rsidRPr="00F2078F">
        <w:rPr>
          <w:rFonts w:eastAsia="Times New Roman" w:cstheme="minorHAnsi"/>
          <w:b/>
          <w:lang w:eastAsia="pl-PL"/>
        </w:rPr>
        <w:t xml:space="preserve">enniku </w:t>
      </w:r>
      <w:r w:rsidR="00A24FFF" w:rsidRPr="00F2078F">
        <w:rPr>
          <w:rFonts w:eastAsia="Times New Roman" w:cstheme="minorHAnsi"/>
          <w:b/>
          <w:lang w:eastAsia="pl-PL"/>
        </w:rPr>
        <w:t>przeprowadzenia kwerend i ponownego wykorzystania informacji sektora publicznego Muzeum Regionalnego w Pułtusku</w:t>
      </w:r>
      <w:r w:rsidRPr="00F2078F">
        <w:rPr>
          <w:rFonts w:eastAsia="Times New Roman" w:cstheme="minorHAnsi"/>
          <w:lang w:eastAsia="pl-PL"/>
        </w:rPr>
        <w:t xml:space="preserve">, stanowiącego </w:t>
      </w:r>
      <w:r w:rsidR="005F2E7B" w:rsidRPr="00F2078F">
        <w:rPr>
          <w:rFonts w:eastAsia="Times New Roman" w:cstheme="minorHAnsi"/>
          <w:b/>
          <w:bCs/>
          <w:lang w:eastAsia="pl-PL"/>
        </w:rPr>
        <w:t>Z</w:t>
      </w:r>
      <w:r w:rsidRPr="00F2078F">
        <w:rPr>
          <w:rFonts w:eastAsia="Times New Roman" w:cstheme="minorHAnsi"/>
          <w:b/>
          <w:bCs/>
          <w:lang w:eastAsia="pl-PL"/>
        </w:rPr>
        <w:t>ałącznik nr 4</w:t>
      </w:r>
      <w:r w:rsidR="00A24FFF" w:rsidRPr="00F2078F">
        <w:rPr>
          <w:rFonts w:eastAsia="Times New Roman" w:cstheme="minorHAnsi"/>
          <w:b/>
          <w:bCs/>
          <w:lang w:eastAsia="pl-PL"/>
        </w:rPr>
        <w:t xml:space="preserve"> do Regulaminu</w:t>
      </w:r>
      <w:r w:rsidRPr="00F2078F">
        <w:rPr>
          <w:rFonts w:eastAsia="Times New Roman" w:cstheme="minorHAnsi"/>
          <w:b/>
          <w:bCs/>
          <w:lang w:eastAsia="pl-PL"/>
        </w:rPr>
        <w:t>.</w:t>
      </w:r>
    </w:p>
    <w:p w14:paraId="42E79173" w14:textId="2AB7757F" w:rsidR="00FF4C0B" w:rsidRPr="00F2078F" w:rsidRDefault="00FF4C0B" w:rsidP="00175A41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W uzasadnionych przypadkach, po uzyskaniu zgody dyrektora Muzeum, opłata może zostać ustalona na innych warunkach. Uzasadnienie należy wpisać we wniosku </w:t>
      </w:r>
      <w:r w:rsidRPr="00F2078F">
        <w:rPr>
          <w:rFonts w:eastAsia="Times New Roman" w:cstheme="minorHAnsi"/>
          <w:iCs/>
          <w:lang w:eastAsia="pl-PL"/>
        </w:rPr>
        <w:t>o którym mowa w ust. 3.</w:t>
      </w:r>
    </w:p>
    <w:p w14:paraId="123A9AF4" w14:textId="48C3D3ED" w:rsidR="004B467A" w:rsidRPr="00F2078F" w:rsidRDefault="004B467A" w:rsidP="00175A41">
      <w:pPr>
        <w:pStyle w:val="Akapitzlist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W przypadku konieczności wniesienia opłaty, Wnioskodawca zostanie poinformowany o jej wysokości w celu potwierdzenia zakresu zamówienia. Brak uregulowania opłaty w ciągu 14 dni kalendarzowych od daty potwierdzenia zamówienia może skutkować wycofaniem wniosku. </w:t>
      </w:r>
    </w:p>
    <w:p w14:paraId="63F0AA8C" w14:textId="6C56EDBB" w:rsidR="007965B4" w:rsidRPr="00F2078F" w:rsidRDefault="007965B4" w:rsidP="004B467A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</w:p>
    <w:p w14:paraId="4A14B4BC" w14:textId="03C627C7" w:rsidR="004B467A" w:rsidRPr="00F2078F" w:rsidRDefault="004B467A" w:rsidP="004B467A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F2078F">
        <w:rPr>
          <w:rFonts w:eastAsia="Times New Roman" w:cstheme="minorHAnsi"/>
          <w:b/>
          <w:lang w:eastAsia="pl-PL"/>
        </w:rPr>
        <w:t>Wykaz załączników:</w:t>
      </w:r>
      <w:bookmarkStart w:id="0" w:name="_GoBack"/>
      <w:bookmarkEnd w:id="0"/>
    </w:p>
    <w:p w14:paraId="17666857" w14:textId="70E39DFB" w:rsidR="004B467A" w:rsidRPr="00F2078F" w:rsidRDefault="004B467A" w:rsidP="00F97E06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Załącznik nr 1 – Wniosek o przeprowadzenie kwerendy</w:t>
      </w:r>
      <w:r w:rsidR="00F97E06" w:rsidRPr="00F2078F">
        <w:rPr>
          <w:rFonts w:eastAsia="Times New Roman" w:cstheme="minorHAnsi"/>
          <w:lang w:eastAsia="pl-PL"/>
        </w:rPr>
        <w:t xml:space="preserve"> w</w:t>
      </w:r>
      <w:r w:rsidRPr="00F2078F">
        <w:rPr>
          <w:rFonts w:eastAsia="Times New Roman" w:cstheme="minorHAnsi"/>
          <w:lang w:eastAsia="pl-PL"/>
        </w:rPr>
        <w:t xml:space="preserve"> zbior</w:t>
      </w:r>
      <w:r w:rsidR="00F97E06" w:rsidRPr="00F2078F">
        <w:rPr>
          <w:rFonts w:eastAsia="Times New Roman" w:cstheme="minorHAnsi"/>
          <w:lang w:eastAsia="pl-PL"/>
        </w:rPr>
        <w:t>ach</w:t>
      </w:r>
      <w:r w:rsidRPr="00F2078F">
        <w:rPr>
          <w:rFonts w:eastAsia="Times New Roman" w:cstheme="minorHAnsi"/>
          <w:lang w:eastAsia="pl-PL"/>
        </w:rPr>
        <w:t xml:space="preserve"> Muzeum </w:t>
      </w:r>
      <w:r w:rsidR="00764CC1" w:rsidRPr="00F2078F">
        <w:rPr>
          <w:rFonts w:eastAsia="Times New Roman" w:cstheme="minorHAnsi"/>
          <w:lang w:eastAsia="pl-PL"/>
        </w:rPr>
        <w:t>Regionalnego w Pułtusku</w:t>
      </w:r>
      <w:r w:rsidRPr="00F2078F">
        <w:rPr>
          <w:rFonts w:eastAsia="Times New Roman" w:cstheme="minorHAnsi"/>
          <w:lang w:eastAsia="pl-PL"/>
        </w:rPr>
        <w:t>.</w:t>
      </w:r>
    </w:p>
    <w:p w14:paraId="2923B61A" w14:textId="14A2280D" w:rsidR="00F97E06" w:rsidRPr="00F2078F" w:rsidRDefault="004B467A" w:rsidP="00F97E06">
      <w:pPr>
        <w:spacing w:before="120" w:after="120" w:line="276" w:lineRule="auto"/>
        <w:rPr>
          <w:rFonts w:eastAsia="Times New Roman" w:cstheme="minorHAnsi"/>
          <w:bCs/>
          <w:highlight w:val="yellow"/>
          <w:lang w:eastAsia="pl-PL"/>
        </w:rPr>
      </w:pPr>
      <w:r w:rsidRPr="00F2078F">
        <w:rPr>
          <w:rFonts w:eastAsia="Times New Roman" w:cstheme="minorHAnsi"/>
          <w:lang w:eastAsia="pl-PL"/>
        </w:rPr>
        <w:t xml:space="preserve">Załącznik nr 2 – </w:t>
      </w:r>
      <w:r w:rsidR="00F97E06" w:rsidRPr="00F2078F">
        <w:rPr>
          <w:rFonts w:eastAsia="Times New Roman" w:cstheme="minorHAnsi"/>
          <w:bCs/>
          <w:lang w:eastAsia="pl-PL"/>
        </w:rPr>
        <w:t>Wniosek o ponowne wykorzystanie informacji sektora publicznego będących w posiadaniu Muzeum Regionalnego W Pułtusku.</w:t>
      </w:r>
    </w:p>
    <w:p w14:paraId="5A1CCBFA" w14:textId="77777777" w:rsidR="004B467A" w:rsidRPr="00F2078F" w:rsidRDefault="004B467A" w:rsidP="00F97E06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Załącznik nr 3 – Oświadczenie.</w:t>
      </w:r>
    </w:p>
    <w:p w14:paraId="0C77FE8D" w14:textId="7E5FC2B8" w:rsidR="00703E9B" w:rsidRPr="00F2078F" w:rsidRDefault="00703E9B" w:rsidP="00703E9B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F2078F">
        <w:rPr>
          <w:rFonts w:eastAsia="Times New Roman" w:cstheme="minorHAnsi"/>
          <w:lang w:eastAsia="pl-PL"/>
        </w:rPr>
        <w:t>Załącznik nr 4 - Cennik przeprowadzania kwerend i ponownego wykorzystania informacji sektora publicznego</w:t>
      </w:r>
      <w:r w:rsidR="00DE7DE9" w:rsidRPr="00F2078F">
        <w:rPr>
          <w:rFonts w:cstheme="minorHAnsi"/>
        </w:rPr>
        <w:t xml:space="preserve"> </w:t>
      </w:r>
      <w:r w:rsidR="00DE7DE9" w:rsidRPr="00F2078F">
        <w:rPr>
          <w:rFonts w:eastAsia="Times New Roman" w:cstheme="minorHAnsi"/>
          <w:lang w:eastAsia="pl-PL"/>
        </w:rPr>
        <w:t>Muzeum Regionalnego w Pułtusku</w:t>
      </w:r>
      <w:r w:rsidR="00F2078F" w:rsidRPr="00F2078F">
        <w:rPr>
          <w:rFonts w:eastAsia="Times New Roman" w:cstheme="minorHAnsi"/>
          <w:lang w:eastAsia="pl-PL"/>
        </w:rPr>
        <w:t>.</w:t>
      </w:r>
    </w:p>
    <w:p w14:paraId="04DFBC5E" w14:textId="4A0217AF" w:rsidR="00175A41" w:rsidRPr="003E0869" w:rsidRDefault="00175A41" w:rsidP="003E0869">
      <w:pPr>
        <w:spacing w:after="0" w:line="240" w:lineRule="auto"/>
        <w:rPr>
          <w:rFonts w:cstheme="minorHAnsi"/>
        </w:rPr>
      </w:pPr>
    </w:p>
    <w:sectPr w:rsidR="00175A41" w:rsidRPr="003E0869" w:rsidSect="00937F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7D15" w14:textId="77777777" w:rsidR="00EC0948" w:rsidRDefault="00EC0948" w:rsidP="00204CD3">
      <w:pPr>
        <w:spacing w:after="0" w:line="240" w:lineRule="auto"/>
      </w:pPr>
      <w:r>
        <w:separator/>
      </w:r>
    </w:p>
  </w:endnote>
  <w:endnote w:type="continuationSeparator" w:id="0">
    <w:p w14:paraId="7581FEE8" w14:textId="77777777" w:rsidR="00EC0948" w:rsidRDefault="00EC0948" w:rsidP="0020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F Good Pro Italic">
    <w:altName w:val="Times New Roman"/>
    <w:charset w:val="00"/>
    <w:family w:val="auto"/>
    <w:pitch w:val="default"/>
  </w:font>
  <w:font w:name="FF Good Pro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042511"/>
      <w:docPartObj>
        <w:docPartGallery w:val="Page Numbers (Bottom of Page)"/>
        <w:docPartUnique/>
      </w:docPartObj>
    </w:sdtPr>
    <w:sdtEndPr/>
    <w:sdtContent>
      <w:p w14:paraId="097FECA2" w14:textId="75188A78" w:rsidR="00E87DB9" w:rsidRDefault="00E87DB9" w:rsidP="00207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869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6D63A" w14:textId="77777777" w:rsidR="00E87DB9" w:rsidRDefault="00E87DB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33CA113" wp14:editId="77FC3A9A">
          <wp:simplePos x="0" y="0"/>
          <wp:positionH relativeFrom="margin">
            <wp:posOffset>-375871</wp:posOffset>
          </wp:positionH>
          <wp:positionV relativeFrom="paragraph">
            <wp:posOffset>-4006</wp:posOffset>
          </wp:positionV>
          <wp:extent cx="6547773" cy="386862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773" cy="386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E7F88" w14:textId="77777777" w:rsidR="00EC0948" w:rsidRDefault="00EC0948" w:rsidP="00204CD3">
      <w:pPr>
        <w:spacing w:after="0" w:line="240" w:lineRule="auto"/>
      </w:pPr>
      <w:r>
        <w:separator/>
      </w:r>
    </w:p>
  </w:footnote>
  <w:footnote w:type="continuationSeparator" w:id="0">
    <w:p w14:paraId="65921CEB" w14:textId="77777777" w:rsidR="00EC0948" w:rsidRDefault="00EC0948" w:rsidP="0020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E8E5" w14:textId="77777777" w:rsidR="00E87DB9" w:rsidRDefault="00E87DB9">
    <w:pPr>
      <w:pStyle w:val="Nagwek"/>
    </w:pPr>
  </w:p>
  <w:p w14:paraId="04B55CC8" w14:textId="77777777" w:rsidR="00E87DB9" w:rsidRDefault="00E87D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93A3" w14:textId="77777777" w:rsidR="00E87DB9" w:rsidRDefault="00E87D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A856AA" wp14:editId="18118589">
          <wp:simplePos x="0" y="0"/>
          <wp:positionH relativeFrom="margin">
            <wp:align>center</wp:align>
          </wp:positionH>
          <wp:positionV relativeFrom="paragraph">
            <wp:posOffset>-62572</wp:posOffset>
          </wp:positionV>
          <wp:extent cx="6355403" cy="782516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403" cy="782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7EB"/>
    <w:multiLevelType w:val="hybridMultilevel"/>
    <w:tmpl w:val="3A5E9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46"/>
    <w:multiLevelType w:val="hybridMultilevel"/>
    <w:tmpl w:val="779AE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5DBA"/>
    <w:multiLevelType w:val="hybridMultilevel"/>
    <w:tmpl w:val="E7C89966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F3042B4"/>
    <w:multiLevelType w:val="hybridMultilevel"/>
    <w:tmpl w:val="5B263344"/>
    <w:lvl w:ilvl="0" w:tplc="162CEA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EC6D60"/>
    <w:multiLevelType w:val="hybridMultilevel"/>
    <w:tmpl w:val="48208716"/>
    <w:lvl w:ilvl="0" w:tplc="C04833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47610A4">
      <w:start w:val="1"/>
      <w:numFmt w:val="decimal"/>
      <w:lvlText w:val="%2)"/>
      <w:lvlJc w:val="left"/>
      <w:pPr>
        <w:ind w:left="1437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0D63CF"/>
    <w:multiLevelType w:val="hybridMultilevel"/>
    <w:tmpl w:val="9466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2565"/>
    <w:multiLevelType w:val="hybridMultilevel"/>
    <w:tmpl w:val="180A8B62"/>
    <w:lvl w:ilvl="0" w:tplc="B5F4C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272A1"/>
    <w:multiLevelType w:val="hybridMultilevel"/>
    <w:tmpl w:val="430C9D92"/>
    <w:lvl w:ilvl="0" w:tplc="75D016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4B55"/>
    <w:multiLevelType w:val="multilevel"/>
    <w:tmpl w:val="391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)"/>
      <w:lvlJc w:val="left"/>
      <w:pPr>
        <w:ind w:left="4320" w:hanging="360"/>
      </w:pPr>
      <w:rPr>
        <w:rFonts w:eastAsiaTheme="minorHAnsi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9726C"/>
    <w:multiLevelType w:val="hybridMultilevel"/>
    <w:tmpl w:val="180A8B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99E"/>
    <w:multiLevelType w:val="hybridMultilevel"/>
    <w:tmpl w:val="D9841B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D01375"/>
    <w:multiLevelType w:val="hybridMultilevel"/>
    <w:tmpl w:val="3E48D1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001177"/>
    <w:multiLevelType w:val="hybridMultilevel"/>
    <w:tmpl w:val="3606EE02"/>
    <w:lvl w:ilvl="0" w:tplc="4DA2D700">
      <w:start w:val="1"/>
      <w:numFmt w:val="decimal"/>
      <w:lvlText w:val="%1."/>
      <w:lvlJc w:val="left"/>
      <w:pPr>
        <w:ind w:left="36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D3"/>
    <w:rsid w:val="000012B6"/>
    <w:rsid w:val="000110AA"/>
    <w:rsid w:val="00036034"/>
    <w:rsid w:val="00084FCF"/>
    <w:rsid w:val="0009196D"/>
    <w:rsid w:val="000A4B20"/>
    <w:rsid w:val="000D04F5"/>
    <w:rsid w:val="000D1ABD"/>
    <w:rsid w:val="000F2525"/>
    <w:rsid w:val="000F7E7F"/>
    <w:rsid w:val="001527F2"/>
    <w:rsid w:val="00161217"/>
    <w:rsid w:val="00175A41"/>
    <w:rsid w:val="00177B13"/>
    <w:rsid w:val="00180109"/>
    <w:rsid w:val="001811B5"/>
    <w:rsid w:val="00186CCE"/>
    <w:rsid w:val="00192843"/>
    <w:rsid w:val="001945AC"/>
    <w:rsid w:val="001D0E56"/>
    <w:rsid w:val="0020417F"/>
    <w:rsid w:val="00204CD3"/>
    <w:rsid w:val="0020587F"/>
    <w:rsid w:val="00207B5B"/>
    <w:rsid w:val="002400AE"/>
    <w:rsid w:val="0024765B"/>
    <w:rsid w:val="00260D2F"/>
    <w:rsid w:val="00284E75"/>
    <w:rsid w:val="002911F5"/>
    <w:rsid w:val="002C67B0"/>
    <w:rsid w:val="00331C59"/>
    <w:rsid w:val="00354A9D"/>
    <w:rsid w:val="00355AFD"/>
    <w:rsid w:val="0036703F"/>
    <w:rsid w:val="003875E5"/>
    <w:rsid w:val="00397045"/>
    <w:rsid w:val="003A3C22"/>
    <w:rsid w:val="003E0869"/>
    <w:rsid w:val="003E7736"/>
    <w:rsid w:val="003F20BC"/>
    <w:rsid w:val="003F506B"/>
    <w:rsid w:val="0041624A"/>
    <w:rsid w:val="00452D7A"/>
    <w:rsid w:val="00493326"/>
    <w:rsid w:val="004949BD"/>
    <w:rsid w:val="00494ADB"/>
    <w:rsid w:val="004A2EE7"/>
    <w:rsid w:val="004B467A"/>
    <w:rsid w:val="004E0F5A"/>
    <w:rsid w:val="004E290E"/>
    <w:rsid w:val="004E55AA"/>
    <w:rsid w:val="004F63EE"/>
    <w:rsid w:val="004F7418"/>
    <w:rsid w:val="005035D4"/>
    <w:rsid w:val="00505D60"/>
    <w:rsid w:val="00506F96"/>
    <w:rsid w:val="00530203"/>
    <w:rsid w:val="00540F46"/>
    <w:rsid w:val="00555A2E"/>
    <w:rsid w:val="005634DD"/>
    <w:rsid w:val="005A4181"/>
    <w:rsid w:val="005C1243"/>
    <w:rsid w:val="005F2E7B"/>
    <w:rsid w:val="0061414B"/>
    <w:rsid w:val="006143B7"/>
    <w:rsid w:val="00623F2E"/>
    <w:rsid w:val="00665044"/>
    <w:rsid w:val="00691648"/>
    <w:rsid w:val="006A06C3"/>
    <w:rsid w:val="00703E9B"/>
    <w:rsid w:val="00732EB3"/>
    <w:rsid w:val="0074627F"/>
    <w:rsid w:val="00755F43"/>
    <w:rsid w:val="00764CC1"/>
    <w:rsid w:val="00766212"/>
    <w:rsid w:val="00773209"/>
    <w:rsid w:val="00775061"/>
    <w:rsid w:val="007965B4"/>
    <w:rsid w:val="007A22AC"/>
    <w:rsid w:val="007A5807"/>
    <w:rsid w:val="007F444E"/>
    <w:rsid w:val="007F6251"/>
    <w:rsid w:val="008133C5"/>
    <w:rsid w:val="008204F5"/>
    <w:rsid w:val="00834F59"/>
    <w:rsid w:val="00836ABB"/>
    <w:rsid w:val="00862B09"/>
    <w:rsid w:val="008C21A9"/>
    <w:rsid w:val="008F4103"/>
    <w:rsid w:val="00903D9B"/>
    <w:rsid w:val="00905D57"/>
    <w:rsid w:val="009146EB"/>
    <w:rsid w:val="00937FF5"/>
    <w:rsid w:val="00957B33"/>
    <w:rsid w:val="00973258"/>
    <w:rsid w:val="00985077"/>
    <w:rsid w:val="009954BF"/>
    <w:rsid w:val="00995FB6"/>
    <w:rsid w:val="009F603B"/>
    <w:rsid w:val="00A04699"/>
    <w:rsid w:val="00A24FFF"/>
    <w:rsid w:val="00A413A2"/>
    <w:rsid w:val="00A558FA"/>
    <w:rsid w:val="00A74CD9"/>
    <w:rsid w:val="00AA059A"/>
    <w:rsid w:val="00AA4ACE"/>
    <w:rsid w:val="00AD1F77"/>
    <w:rsid w:val="00AF66AC"/>
    <w:rsid w:val="00B01CF9"/>
    <w:rsid w:val="00B01E06"/>
    <w:rsid w:val="00B11704"/>
    <w:rsid w:val="00B16CAF"/>
    <w:rsid w:val="00B247BF"/>
    <w:rsid w:val="00B300F9"/>
    <w:rsid w:val="00B31FA1"/>
    <w:rsid w:val="00B36468"/>
    <w:rsid w:val="00B4393A"/>
    <w:rsid w:val="00B47832"/>
    <w:rsid w:val="00B65638"/>
    <w:rsid w:val="00B80BF2"/>
    <w:rsid w:val="00BA0909"/>
    <w:rsid w:val="00BB4618"/>
    <w:rsid w:val="00C126A4"/>
    <w:rsid w:val="00C433E1"/>
    <w:rsid w:val="00C72DA6"/>
    <w:rsid w:val="00C808FB"/>
    <w:rsid w:val="00CB1185"/>
    <w:rsid w:val="00CB4F46"/>
    <w:rsid w:val="00CE31E1"/>
    <w:rsid w:val="00CE3E63"/>
    <w:rsid w:val="00CF0244"/>
    <w:rsid w:val="00D14C83"/>
    <w:rsid w:val="00D27741"/>
    <w:rsid w:val="00D3503C"/>
    <w:rsid w:val="00D45C8D"/>
    <w:rsid w:val="00D52817"/>
    <w:rsid w:val="00D80E5B"/>
    <w:rsid w:val="00D85A76"/>
    <w:rsid w:val="00D868A3"/>
    <w:rsid w:val="00DA5431"/>
    <w:rsid w:val="00DB0980"/>
    <w:rsid w:val="00DE671F"/>
    <w:rsid w:val="00DE7DE9"/>
    <w:rsid w:val="00DF3B76"/>
    <w:rsid w:val="00E1515F"/>
    <w:rsid w:val="00E16D98"/>
    <w:rsid w:val="00E21512"/>
    <w:rsid w:val="00E23F43"/>
    <w:rsid w:val="00E43838"/>
    <w:rsid w:val="00E8449A"/>
    <w:rsid w:val="00E87DB9"/>
    <w:rsid w:val="00E906AB"/>
    <w:rsid w:val="00E910E4"/>
    <w:rsid w:val="00E94F3C"/>
    <w:rsid w:val="00EA1630"/>
    <w:rsid w:val="00EA38EA"/>
    <w:rsid w:val="00EC0948"/>
    <w:rsid w:val="00F04E82"/>
    <w:rsid w:val="00F2078F"/>
    <w:rsid w:val="00F37830"/>
    <w:rsid w:val="00F567CA"/>
    <w:rsid w:val="00F7709F"/>
    <w:rsid w:val="00F97E06"/>
    <w:rsid w:val="00FA5E71"/>
    <w:rsid w:val="00FA740C"/>
    <w:rsid w:val="00FB2119"/>
    <w:rsid w:val="00FB4456"/>
    <w:rsid w:val="00FC1FF0"/>
    <w:rsid w:val="00FC6F19"/>
    <w:rsid w:val="00FD3F1E"/>
    <w:rsid w:val="00FD449A"/>
    <w:rsid w:val="00FD6ACB"/>
    <w:rsid w:val="00FF4C0B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94947"/>
  <w15:docId w15:val="{4233E951-6817-486B-9728-0714484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67A"/>
  </w:style>
  <w:style w:type="paragraph" w:styleId="Nagwek1">
    <w:name w:val="heading 1"/>
    <w:basedOn w:val="Normalny"/>
    <w:next w:val="Normalny"/>
    <w:link w:val="Nagwek1Znak"/>
    <w:qFormat/>
    <w:rsid w:val="004B46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CD3"/>
  </w:style>
  <w:style w:type="paragraph" w:styleId="Stopka">
    <w:name w:val="footer"/>
    <w:basedOn w:val="Normalny"/>
    <w:link w:val="StopkaZnak"/>
    <w:uiPriority w:val="99"/>
    <w:unhideWhenUsed/>
    <w:rsid w:val="0020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CD3"/>
  </w:style>
  <w:style w:type="paragraph" w:styleId="Bezodstpw">
    <w:name w:val="No Spacing"/>
    <w:uiPriority w:val="1"/>
    <w:qFormat/>
    <w:rsid w:val="00FB445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44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C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B467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6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B467A"/>
    <w:rPr>
      <w:rFonts w:ascii="FF Good Pro Italic" w:hAnsi="FF Good Pro Italic" w:hint="default"/>
      <w:i w:val="0"/>
      <w:iCs w:val="0"/>
    </w:rPr>
  </w:style>
  <w:style w:type="character" w:styleId="Pogrubienie">
    <w:name w:val="Strong"/>
    <w:basedOn w:val="Domylnaczcionkaakapitu"/>
    <w:uiPriority w:val="22"/>
    <w:qFormat/>
    <w:rsid w:val="004B467A"/>
    <w:rPr>
      <w:rFonts w:ascii="FF Good Pro Bold" w:hAnsi="FF Good Pro Bold" w:hint="default"/>
      <w:b w:val="0"/>
      <w:bCs w:val="0"/>
    </w:rPr>
  </w:style>
  <w:style w:type="paragraph" w:styleId="Akapitzlist">
    <w:name w:val="List Paragraph"/>
    <w:basedOn w:val="Normalny"/>
    <w:link w:val="AkapitzlistZnak"/>
    <w:uiPriority w:val="34"/>
    <w:qFormat/>
    <w:rsid w:val="004B46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4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7A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B46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467A"/>
  </w:style>
  <w:style w:type="table" w:customStyle="1" w:styleId="Tabela-Siatka1">
    <w:name w:val="Tabela - Siatka1"/>
    <w:basedOn w:val="Standardowy"/>
    <w:next w:val="Tabela-Siatka"/>
    <w:uiPriority w:val="59"/>
    <w:rsid w:val="004B46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B467A"/>
  </w:style>
  <w:style w:type="paragraph" w:customStyle="1" w:styleId="western">
    <w:name w:val="western"/>
    <w:basedOn w:val="Normalny"/>
    <w:uiPriority w:val="99"/>
    <w:semiHidden/>
    <w:rsid w:val="004B467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6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46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467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B467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C95C-07A7-45FA-AA66-52A31EF2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1991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SZPILA</dc:creator>
  <cp:lastModifiedBy>user</cp:lastModifiedBy>
  <cp:revision>11</cp:revision>
  <cp:lastPrinted>2025-01-31T13:29:00Z</cp:lastPrinted>
  <dcterms:created xsi:type="dcterms:W3CDTF">2025-01-30T11:35:00Z</dcterms:created>
  <dcterms:modified xsi:type="dcterms:W3CDTF">2025-01-31T14:11:00Z</dcterms:modified>
</cp:coreProperties>
</file>